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07" w:rsidRDefault="00B60A07">
      <w:pPr>
        <w:jc w:val="center"/>
        <w:rPr>
          <w:sz w:val="52"/>
        </w:rPr>
      </w:pPr>
      <w:r>
        <w:rPr>
          <w:sz w:val="52"/>
        </w:rPr>
        <w:t>中华人民共和国国家计量技术规范</w:t>
      </w:r>
    </w:p>
    <w:p w:rsidR="00B60A07" w:rsidRDefault="00B60A07">
      <w:pPr>
        <w:jc w:val="center"/>
        <w:rPr>
          <w:rFonts w:eastAsia="黑体"/>
          <w:sz w:val="28"/>
        </w:rPr>
      </w:pPr>
      <w:r>
        <w:rPr>
          <w:b/>
          <w:sz w:val="28"/>
        </w:rPr>
        <w:t xml:space="preserve">　　　　　　　　　　</w:t>
      </w:r>
      <w:r>
        <w:rPr>
          <w:b/>
          <w:sz w:val="28"/>
        </w:rPr>
        <w:t xml:space="preserve">             </w:t>
      </w:r>
      <w:r w:rsidR="00DC2F7F">
        <w:rPr>
          <w:rFonts w:eastAsia="黑体"/>
          <w:sz w:val="28"/>
        </w:rPr>
        <w:t>JJ</w:t>
      </w:r>
      <w:r w:rsidR="00DC2F7F">
        <w:rPr>
          <w:rFonts w:eastAsia="黑体" w:hint="eastAsia"/>
          <w:sz w:val="28"/>
        </w:rPr>
        <w:t>G1073</w:t>
      </w:r>
      <w:r>
        <w:rPr>
          <w:rFonts w:eastAsia="黑体"/>
          <w:sz w:val="28"/>
        </w:rPr>
        <w:t>—××××</w:t>
      </w:r>
    </w:p>
    <w:p w:rsidR="00B60A07" w:rsidRDefault="00F339B0" w:rsidP="00394D08">
      <w:pPr>
        <w:tabs>
          <w:tab w:val="left" w:pos="2201"/>
        </w:tabs>
        <w:ind w:leftChars="85" w:left="178" w:firstLineChars="89" w:firstLine="187"/>
        <w:jc w:val="center"/>
        <w:rPr>
          <w:b/>
          <w:sz w:val="36"/>
        </w:rPr>
      </w:pPr>
      <w:r w:rsidRPr="00F339B0">
        <w:pict>
          <v:line id="Line 9" o:spid="_x0000_s1026" style="position:absolute;left:0;text-align:left;z-index:251657728" from="0,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JBe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"/>
        </w:pict>
      </w:r>
    </w:p>
    <w:p w:rsidR="00B60A07" w:rsidRDefault="00B60A07">
      <w:pPr>
        <w:tabs>
          <w:tab w:val="left" w:pos="2201"/>
        </w:tabs>
        <w:rPr>
          <w:b/>
          <w:sz w:val="36"/>
        </w:rPr>
      </w:pPr>
    </w:p>
    <w:p w:rsidR="00B60A07" w:rsidRDefault="006325BF">
      <w:pPr>
        <w:tabs>
          <w:tab w:val="left" w:pos="2201"/>
        </w:tabs>
        <w:rPr>
          <w:b/>
          <w:sz w:val="36"/>
        </w:rPr>
      </w:pPr>
      <w:r>
        <w:rPr>
          <w:rFonts w:hint="eastAsia"/>
          <w:b/>
          <w:sz w:val="36"/>
        </w:rPr>
        <w:t xml:space="preserve"> </w:t>
      </w:r>
    </w:p>
    <w:p w:rsidR="00B60A07" w:rsidRDefault="00B60A07">
      <w:pPr>
        <w:tabs>
          <w:tab w:val="left" w:pos="2201"/>
        </w:tabs>
        <w:jc w:val="center"/>
        <w:rPr>
          <w:b/>
          <w:sz w:val="36"/>
        </w:rPr>
      </w:pPr>
    </w:p>
    <w:p w:rsidR="00EC7ED2" w:rsidRDefault="00EC7ED2">
      <w:pPr>
        <w:spacing w:line="360" w:lineRule="auto"/>
        <w:jc w:val="center"/>
        <w:rPr>
          <w:rFonts w:ascii="宋体" w:hAnsi="宋体"/>
          <w:b/>
          <w:sz w:val="48"/>
          <w:szCs w:val="48"/>
        </w:rPr>
      </w:pPr>
      <w:r>
        <w:rPr>
          <w:rFonts w:ascii="宋体" w:hAnsi="宋体" w:hint="eastAsia"/>
          <w:b/>
          <w:sz w:val="48"/>
          <w:szCs w:val="48"/>
        </w:rPr>
        <w:t>压力式六氟化硫气体密度控制器</w:t>
      </w:r>
    </w:p>
    <w:p w:rsidR="00B60A07" w:rsidRDefault="00EC7ED2">
      <w:pPr>
        <w:spacing w:line="360" w:lineRule="auto"/>
        <w:jc w:val="center"/>
        <w:rPr>
          <w:rFonts w:eastAsia="黑体"/>
          <w:sz w:val="52"/>
        </w:rPr>
      </w:pPr>
      <w:r>
        <w:rPr>
          <w:rFonts w:ascii="宋体" w:hAnsi="宋体" w:hint="eastAsia"/>
          <w:b/>
          <w:sz w:val="48"/>
          <w:szCs w:val="48"/>
        </w:rPr>
        <w:t>检定规程</w:t>
      </w:r>
    </w:p>
    <w:p w:rsidR="00B60A07" w:rsidRDefault="00EC7ED2">
      <w:pPr>
        <w:ind w:rightChars="50" w:right="105"/>
        <w:jc w:val="center"/>
        <w:rPr>
          <w:sz w:val="28"/>
          <w:szCs w:val="28"/>
        </w:rPr>
      </w:pPr>
      <w:r w:rsidRPr="009A764C">
        <w:rPr>
          <w:rFonts w:eastAsia="黑体"/>
          <w:sz w:val="28"/>
          <w:szCs w:val="28"/>
        </w:rPr>
        <w:t>Verification Regulation of</w:t>
      </w:r>
      <w:r>
        <w:rPr>
          <w:rFonts w:eastAsia="黑体" w:hint="eastAsia"/>
          <w:sz w:val="28"/>
          <w:szCs w:val="28"/>
        </w:rPr>
        <w:t xml:space="preserve"> </w:t>
      </w:r>
      <w:r w:rsidRPr="00395B07">
        <w:rPr>
          <w:rFonts w:eastAsia="黑体" w:hint="eastAsia"/>
          <w:sz w:val="28"/>
          <w:szCs w:val="28"/>
        </w:rPr>
        <w:t>Pressure</w:t>
      </w:r>
      <w:r w:rsidRPr="00EC7ED2">
        <w:rPr>
          <w:rFonts w:eastAsia="黑体" w:hint="eastAsia"/>
          <w:sz w:val="28"/>
          <w:szCs w:val="28"/>
        </w:rPr>
        <w:t xml:space="preserve"> </w:t>
      </w:r>
      <w:r w:rsidRPr="00395B07">
        <w:rPr>
          <w:rFonts w:eastAsia="黑体" w:hint="eastAsia"/>
          <w:sz w:val="28"/>
          <w:szCs w:val="28"/>
        </w:rPr>
        <w:t>Type SF</w:t>
      </w:r>
      <w:r w:rsidRPr="00EE2A50">
        <w:rPr>
          <w:rFonts w:eastAsia="黑体" w:hint="eastAsia"/>
          <w:sz w:val="28"/>
          <w:szCs w:val="28"/>
          <w:vertAlign w:val="subscript"/>
        </w:rPr>
        <w:t>6</w:t>
      </w:r>
      <w:r w:rsidRPr="00395B07">
        <w:rPr>
          <w:rFonts w:eastAsia="黑体" w:hint="eastAsia"/>
          <w:sz w:val="28"/>
          <w:szCs w:val="28"/>
        </w:rPr>
        <w:t xml:space="preserve"> Gas Density Monitor</w:t>
      </w:r>
    </w:p>
    <w:p w:rsidR="00B60A07" w:rsidRPr="00D3040A" w:rsidRDefault="00B60A07">
      <w:pPr>
        <w:jc w:val="center"/>
        <w:rPr>
          <w:rFonts w:eastAsia="黑体"/>
          <w:sz w:val="44"/>
          <w:szCs w:val="44"/>
        </w:rPr>
      </w:pPr>
      <w:r w:rsidRPr="00D3040A">
        <w:rPr>
          <w:rFonts w:eastAsia="黑体"/>
          <w:sz w:val="44"/>
          <w:szCs w:val="44"/>
        </w:rPr>
        <w:t>（</w:t>
      </w:r>
      <w:r w:rsidRPr="00D3040A">
        <w:rPr>
          <w:rFonts w:ascii="黑体" w:eastAsia="黑体" w:hint="eastAsia"/>
          <w:sz w:val="44"/>
          <w:szCs w:val="44"/>
        </w:rPr>
        <w:t>编制说明</w:t>
      </w:r>
      <w:r w:rsidRPr="00D3040A">
        <w:rPr>
          <w:rFonts w:eastAsia="黑体"/>
          <w:sz w:val="44"/>
          <w:szCs w:val="44"/>
        </w:rPr>
        <w:t>）</w:t>
      </w:r>
    </w:p>
    <w:p w:rsidR="00B60A07" w:rsidRDefault="00B60A07">
      <w:pPr>
        <w:jc w:val="center"/>
        <w:rPr>
          <w:rFonts w:ascii="黑体" w:eastAsia="黑体"/>
          <w:sz w:val="28"/>
          <w:szCs w:val="28"/>
        </w:rPr>
      </w:pPr>
    </w:p>
    <w:p w:rsidR="00B60A07" w:rsidRDefault="00B60A07">
      <w:pPr>
        <w:jc w:val="center"/>
        <w:rPr>
          <w:rFonts w:ascii="黑体" w:eastAsia="黑体"/>
          <w:sz w:val="28"/>
          <w:szCs w:val="28"/>
        </w:rPr>
      </w:pPr>
    </w:p>
    <w:p w:rsidR="00B60A07" w:rsidRDefault="00B60A07">
      <w:pPr>
        <w:jc w:val="center"/>
        <w:rPr>
          <w:rFonts w:ascii="黑体" w:eastAsia="黑体"/>
          <w:sz w:val="28"/>
          <w:szCs w:val="28"/>
        </w:rPr>
      </w:pPr>
    </w:p>
    <w:p w:rsidR="00B60A07" w:rsidRDefault="00B60A07">
      <w:pPr>
        <w:ind w:firstLineChars="300" w:firstLine="840"/>
        <w:rPr>
          <w:rFonts w:eastAsia="黑体"/>
          <w:sz w:val="28"/>
        </w:rPr>
      </w:pPr>
      <w:r>
        <w:rPr>
          <w:rFonts w:eastAsia="黑体" w:hint="eastAsia"/>
          <w:sz w:val="28"/>
        </w:rPr>
        <w:t>归</w:t>
      </w:r>
      <w:r>
        <w:rPr>
          <w:rFonts w:eastAsia="黑体" w:hint="eastAsia"/>
          <w:sz w:val="28"/>
        </w:rPr>
        <w:t xml:space="preserve"> </w:t>
      </w:r>
      <w:r>
        <w:rPr>
          <w:rFonts w:eastAsia="黑体" w:hint="eastAsia"/>
          <w:sz w:val="28"/>
        </w:rPr>
        <w:t>口</w:t>
      </w:r>
      <w:r>
        <w:rPr>
          <w:rFonts w:eastAsia="黑体" w:hint="eastAsia"/>
          <w:sz w:val="28"/>
        </w:rPr>
        <w:t xml:space="preserve"> </w:t>
      </w:r>
      <w:r>
        <w:rPr>
          <w:rFonts w:eastAsia="黑体" w:hint="eastAsia"/>
          <w:sz w:val="28"/>
        </w:rPr>
        <w:t>单</w:t>
      </w:r>
      <w:r>
        <w:rPr>
          <w:rFonts w:eastAsia="黑体" w:hint="eastAsia"/>
          <w:sz w:val="28"/>
        </w:rPr>
        <w:t xml:space="preserve">  </w:t>
      </w:r>
      <w:r>
        <w:rPr>
          <w:rFonts w:eastAsia="黑体" w:hint="eastAsia"/>
          <w:sz w:val="28"/>
        </w:rPr>
        <w:t>位：</w:t>
      </w:r>
      <w:r>
        <w:rPr>
          <w:rFonts w:ascii="宋体" w:hAnsi="宋体" w:hint="eastAsia"/>
          <w:sz w:val="28"/>
        </w:rPr>
        <w:t>全国压力计量技术委员会</w:t>
      </w:r>
    </w:p>
    <w:p w:rsidR="00B60A07" w:rsidRDefault="00B60A07">
      <w:pPr>
        <w:ind w:firstLineChars="300" w:firstLine="840"/>
        <w:rPr>
          <w:rFonts w:ascii="宋体" w:eastAsia="黑体" w:hAnsi="宋体"/>
          <w:sz w:val="28"/>
        </w:rPr>
      </w:pPr>
      <w:r>
        <w:rPr>
          <w:rFonts w:eastAsia="黑体" w:hint="eastAsia"/>
          <w:sz w:val="28"/>
        </w:rPr>
        <w:t>主要起草单位：</w:t>
      </w:r>
    </w:p>
    <w:p w:rsidR="00EC7ED2" w:rsidRDefault="00EC7ED2" w:rsidP="00EC7ED2">
      <w:pPr>
        <w:ind w:firstLineChars="1000" w:firstLine="2800"/>
        <w:rPr>
          <w:rFonts w:ascii="宋体" w:eastAsia="黑体" w:hAnsi="宋体"/>
          <w:sz w:val="28"/>
        </w:rPr>
      </w:pPr>
    </w:p>
    <w:p w:rsidR="00B60A07" w:rsidRDefault="00B60A07">
      <w:pPr>
        <w:ind w:firstLineChars="300" w:firstLine="840"/>
        <w:rPr>
          <w:rFonts w:ascii="宋体" w:hAnsi="宋体"/>
          <w:sz w:val="28"/>
        </w:rPr>
      </w:pPr>
      <w:r>
        <w:rPr>
          <w:rFonts w:ascii="黑体" w:eastAsia="黑体" w:hAnsi="宋体" w:hint="eastAsia"/>
          <w:sz w:val="28"/>
        </w:rPr>
        <w:t>参加起草单位：</w:t>
      </w:r>
      <w:r w:rsidR="00005342">
        <w:rPr>
          <w:rFonts w:ascii="宋体" w:hAnsi="宋体"/>
          <w:sz w:val="28"/>
        </w:rPr>
        <w:t xml:space="preserve"> </w:t>
      </w:r>
    </w:p>
    <w:p w:rsidR="00B60A07" w:rsidRPr="00EC7ED2" w:rsidRDefault="00B60A07" w:rsidP="00EC7ED2">
      <w:pPr>
        <w:ind w:firstLineChars="1007" w:firstLine="2820"/>
        <w:rPr>
          <w:rFonts w:asciiTheme="minorEastAsia" w:eastAsiaTheme="minorEastAsia" w:hAnsiTheme="minorEastAsia"/>
          <w:sz w:val="28"/>
        </w:rPr>
      </w:pPr>
    </w:p>
    <w:p w:rsidR="00B60A07" w:rsidRDefault="00B60A07">
      <w:pPr>
        <w:ind w:firstLineChars="300" w:firstLine="840"/>
        <w:rPr>
          <w:rFonts w:eastAsia="黑体"/>
          <w:sz w:val="28"/>
        </w:rPr>
      </w:pPr>
    </w:p>
    <w:p w:rsidR="00B60A07" w:rsidRDefault="00B60A07">
      <w:pPr>
        <w:sectPr w:rsidR="00B60A07">
          <w:pgSz w:w="11906" w:h="16838"/>
          <w:pgMar w:top="1440" w:right="1800" w:bottom="1440" w:left="1800" w:header="851" w:footer="992" w:gutter="0"/>
          <w:cols w:space="720"/>
          <w:docGrid w:type="lines" w:linePitch="312"/>
        </w:sectPr>
      </w:pPr>
    </w:p>
    <w:p w:rsidR="00B60A07" w:rsidRDefault="00B60A07">
      <w:pPr>
        <w:ind w:firstLine="1120"/>
        <w:jc w:val="center"/>
        <w:rPr>
          <w:rFonts w:eastAsia="黑体"/>
          <w:sz w:val="28"/>
        </w:rPr>
      </w:pPr>
    </w:p>
    <w:p w:rsidR="00B60A07" w:rsidRDefault="00EC7ED2">
      <w:pPr>
        <w:spacing w:line="360" w:lineRule="auto"/>
        <w:jc w:val="center"/>
        <w:rPr>
          <w:rFonts w:ascii="宋体" w:hAnsi="宋体"/>
          <w:sz w:val="32"/>
        </w:rPr>
      </w:pPr>
      <w:r>
        <w:rPr>
          <w:rFonts w:ascii="黑体" w:eastAsia="黑体" w:hAnsi="宋体" w:cs="黑体" w:hint="eastAsia"/>
          <w:sz w:val="32"/>
          <w:szCs w:val="32"/>
        </w:rPr>
        <w:t>压力式六氟化硫气体密度控制器</w:t>
      </w:r>
      <w:r w:rsidRPr="009A764C">
        <w:rPr>
          <w:rFonts w:ascii="黑体" w:eastAsia="黑体" w:hAnsi="宋体" w:cs="黑体" w:hint="eastAsia"/>
          <w:sz w:val="32"/>
          <w:szCs w:val="32"/>
        </w:rPr>
        <w:t>检定规程</w:t>
      </w:r>
    </w:p>
    <w:p w:rsidR="00B60A07" w:rsidRDefault="00B60A07">
      <w:pPr>
        <w:spacing w:line="360" w:lineRule="auto"/>
        <w:jc w:val="center"/>
        <w:rPr>
          <w:rFonts w:ascii="宋体" w:hAnsi="宋体"/>
          <w:sz w:val="32"/>
        </w:rPr>
      </w:pPr>
      <w:r>
        <w:rPr>
          <w:rFonts w:ascii="宋体" w:hAnsi="宋体" w:hint="eastAsia"/>
          <w:sz w:val="32"/>
        </w:rPr>
        <w:t>编制说明</w:t>
      </w:r>
    </w:p>
    <w:p w:rsidR="00B60A07" w:rsidRDefault="00B60A07">
      <w:pPr>
        <w:adjustRightInd w:val="0"/>
        <w:snapToGrid w:val="0"/>
        <w:spacing w:line="360" w:lineRule="auto"/>
        <w:jc w:val="left"/>
        <w:rPr>
          <w:rFonts w:ascii="宋体" w:hAnsi="宋体"/>
          <w:b/>
          <w:sz w:val="24"/>
        </w:rPr>
      </w:pPr>
      <w:r>
        <w:rPr>
          <w:rFonts w:ascii="宋体" w:hAnsi="宋体" w:hint="eastAsia"/>
          <w:b/>
          <w:sz w:val="24"/>
        </w:rPr>
        <w:t>一、任务来源</w:t>
      </w:r>
    </w:p>
    <w:p w:rsidR="00B60A07" w:rsidRDefault="00B60A07" w:rsidP="00CB3323">
      <w:pPr>
        <w:adjustRightInd w:val="0"/>
        <w:snapToGrid w:val="0"/>
        <w:spacing w:line="480" w:lineRule="auto"/>
        <w:ind w:firstLineChars="200" w:firstLine="480"/>
        <w:rPr>
          <w:rFonts w:ascii="宋体" w:hAnsi="宋体"/>
          <w:sz w:val="24"/>
        </w:rPr>
      </w:pPr>
      <w:r>
        <w:rPr>
          <w:rFonts w:ascii="宋体" w:hAnsi="宋体" w:hint="eastAsia"/>
          <w:sz w:val="24"/>
        </w:rPr>
        <w:t>2019年</w:t>
      </w:r>
      <w:r w:rsidR="00EC7ED2">
        <w:rPr>
          <w:rFonts w:ascii="宋体" w:hAnsi="宋体" w:hint="eastAsia"/>
          <w:sz w:val="24"/>
        </w:rPr>
        <w:t>3</w:t>
      </w:r>
      <w:r>
        <w:rPr>
          <w:rFonts w:ascii="宋体" w:hAnsi="宋体" w:hint="eastAsia"/>
          <w:sz w:val="24"/>
        </w:rPr>
        <w:t>月</w:t>
      </w:r>
      <w:r w:rsidRPr="00CB3323">
        <w:rPr>
          <w:rFonts w:hint="eastAsia"/>
          <w:sz w:val="24"/>
        </w:rPr>
        <w:t>，</w:t>
      </w:r>
      <w:r w:rsidR="00EC7ED2" w:rsidRPr="00CB3323">
        <w:rPr>
          <w:rFonts w:hint="eastAsia"/>
          <w:sz w:val="24"/>
        </w:rPr>
        <w:t>河南省计量科学研究院</w:t>
      </w:r>
      <w:r w:rsidRPr="00CB3323">
        <w:rPr>
          <w:rFonts w:hint="eastAsia"/>
          <w:sz w:val="24"/>
        </w:rPr>
        <w:t>申请</w:t>
      </w:r>
      <w:r w:rsidR="00EC7ED2" w:rsidRPr="00CB3323">
        <w:rPr>
          <w:rFonts w:hint="eastAsia"/>
          <w:sz w:val="24"/>
        </w:rPr>
        <w:t>修订</w:t>
      </w:r>
      <w:r w:rsidRPr="00CB3323">
        <w:rPr>
          <w:rFonts w:hint="eastAsia"/>
          <w:sz w:val="24"/>
        </w:rPr>
        <w:t>《</w:t>
      </w:r>
      <w:r w:rsidR="00E474F8" w:rsidRPr="003E4507">
        <w:rPr>
          <w:rFonts w:hint="eastAsia"/>
          <w:sz w:val="24"/>
        </w:rPr>
        <w:t>压力式六氟化硫气体密度控制器</w:t>
      </w:r>
      <w:r w:rsidRPr="00CB3323">
        <w:rPr>
          <w:rFonts w:hint="eastAsia"/>
          <w:sz w:val="24"/>
        </w:rPr>
        <w:t>》国家计量</w:t>
      </w:r>
      <w:r w:rsidR="00E474F8" w:rsidRPr="00CB3323">
        <w:rPr>
          <w:rFonts w:hint="eastAsia"/>
          <w:sz w:val="24"/>
        </w:rPr>
        <w:t>检定规程</w:t>
      </w:r>
      <w:r w:rsidRPr="00CB3323">
        <w:rPr>
          <w:rFonts w:hint="eastAsia"/>
          <w:sz w:val="24"/>
        </w:rPr>
        <w:t>。</w:t>
      </w:r>
      <w:r w:rsidRPr="00CB3323">
        <w:rPr>
          <w:rFonts w:hint="eastAsia"/>
          <w:sz w:val="24"/>
        </w:rPr>
        <w:t>2019</w:t>
      </w:r>
      <w:r w:rsidRPr="00CB3323">
        <w:rPr>
          <w:rFonts w:hint="eastAsia"/>
          <w:sz w:val="24"/>
        </w:rPr>
        <w:t>年</w:t>
      </w:r>
      <w:r w:rsidRPr="00CB3323">
        <w:rPr>
          <w:rFonts w:hint="eastAsia"/>
          <w:sz w:val="24"/>
        </w:rPr>
        <w:t>9</w:t>
      </w:r>
      <w:r w:rsidRPr="00CB3323">
        <w:rPr>
          <w:rFonts w:hint="eastAsia"/>
          <w:sz w:val="24"/>
        </w:rPr>
        <w:t>月全国压力计量技术委员会同意立项上报，国家市场监督管理总局以市监量函</w:t>
      </w:r>
      <w:r w:rsidRPr="00CB3323">
        <w:rPr>
          <w:rFonts w:hint="eastAsia"/>
          <w:sz w:val="24"/>
        </w:rPr>
        <w:t>[20</w:t>
      </w:r>
      <w:r w:rsidR="001618E6" w:rsidRPr="00CB3323">
        <w:rPr>
          <w:rFonts w:hint="eastAsia"/>
          <w:sz w:val="24"/>
        </w:rPr>
        <w:t>20</w:t>
      </w:r>
      <w:r w:rsidRPr="00CB3323">
        <w:rPr>
          <w:rFonts w:hint="eastAsia"/>
          <w:sz w:val="24"/>
        </w:rPr>
        <w:t>]</w:t>
      </w:r>
      <w:r w:rsidR="001618E6" w:rsidRPr="00CB3323">
        <w:rPr>
          <w:rFonts w:hint="eastAsia"/>
          <w:sz w:val="24"/>
        </w:rPr>
        <w:t>38</w:t>
      </w:r>
      <w:r w:rsidRPr="00CB3323">
        <w:rPr>
          <w:rFonts w:hint="eastAsia"/>
          <w:sz w:val="24"/>
        </w:rPr>
        <w:t>号文正式批准立项，</w:t>
      </w:r>
      <w:r w:rsidRPr="00CB3323">
        <w:rPr>
          <w:rFonts w:hint="eastAsia"/>
          <w:sz w:val="24"/>
        </w:rPr>
        <w:t>20</w:t>
      </w:r>
      <w:r w:rsidR="001618E6" w:rsidRPr="00CB3323">
        <w:rPr>
          <w:rFonts w:hint="eastAsia"/>
          <w:sz w:val="24"/>
        </w:rPr>
        <w:t>20</w:t>
      </w:r>
      <w:r w:rsidRPr="00CB3323">
        <w:rPr>
          <w:rFonts w:hint="eastAsia"/>
          <w:sz w:val="24"/>
        </w:rPr>
        <w:t>年</w:t>
      </w:r>
      <w:r w:rsidR="001618E6" w:rsidRPr="00CB3323">
        <w:rPr>
          <w:rFonts w:hint="eastAsia"/>
          <w:sz w:val="24"/>
        </w:rPr>
        <w:t>6</w:t>
      </w:r>
      <w:r w:rsidRPr="00CB3323">
        <w:rPr>
          <w:rFonts w:hint="eastAsia"/>
          <w:sz w:val="24"/>
        </w:rPr>
        <w:t>月全国压力计量技术委员会以信函形式通知</w:t>
      </w:r>
      <w:r w:rsidR="001618E6" w:rsidRPr="00CB3323">
        <w:rPr>
          <w:rFonts w:hint="eastAsia"/>
          <w:sz w:val="24"/>
        </w:rPr>
        <w:t>河南省计量科</w:t>
      </w:r>
      <w:r w:rsidR="001618E6">
        <w:rPr>
          <w:rFonts w:ascii="宋体" w:hAnsi="宋体" w:hint="eastAsia"/>
          <w:sz w:val="24"/>
        </w:rPr>
        <w:t>学研究院</w:t>
      </w:r>
      <w:r>
        <w:rPr>
          <w:rFonts w:ascii="宋体" w:hAnsi="宋体" w:hint="eastAsia"/>
          <w:sz w:val="24"/>
        </w:rPr>
        <w:t>。</w:t>
      </w:r>
    </w:p>
    <w:p w:rsidR="00B60A07" w:rsidRDefault="00B60A07">
      <w:pPr>
        <w:adjustRightInd w:val="0"/>
        <w:snapToGrid w:val="0"/>
        <w:spacing w:line="360" w:lineRule="auto"/>
        <w:jc w:val="left"/>
        <w:rPr>
          <w:rFonts w:ascii="宋体" w:hAnsi="宋体"/>
          <w:b/>
          <w:sz w:val="24"/>
        </w:rPr>
      </w:pPr>
      <w:r>
        <w:rPr>
          <w:rFonts w:ascii="宋体" w:hAnsi="宋体" w:hint="eastAsia"/>
          <w:b/>
          <w:sz w:val="24"/>
        </w:rPr>
        <w:t>二、制定规范的必要性</w:t>
      </w:r>
    </w:p>
    <w:p w:rsidR="001618E6" w:rsidRPr="001618E6" w:rsidRDefault="001618E6" w:rsidP="001618E6">
      <w:pPr>
        <w:spacing w:line="360" w:lineRule="auto"/>
        <w:ind w:firstLineChars="200" w:firstLine="480"/>
        <w:rPr>
          <w:sz w:val="24"/>
        </w:rPr>
      </w:pPr>
      <w:r w:rsidRPr="001618E6">
        <w:rPr>
          <w:sz w:val="24"/>
        </w:rPr>
        <w:t>目前在各种高压电气设备内广泛使用六氟化硫（以下简称</w:t>
      </w:r>
      <w:r w:rsidRPr="001618E6">
        <w:rPr>
          <w:sz w:val="24"/>
        </w:rPr>
        <w:t>SF</w:t>
      </w:r>
      <w:r w:rsidRPr="001618E6">
        <w:rPr>
          <w:sz w:val="24"/>
          <w:vertAlign w:val="subscript"/>
        </w:rPr>
        <w:t>6</w:t>
      </w:r>
      <w:r w:rsidRPr="001618E6">
        <w:rPr>
          <w:sz w:val="24"/>
        </w:rPr>
        <w:t>）气体替代绝缘油作为高压电气设备中的灭弧和绝缘介质。压力式</w:t>
      </w:r>
      <w:r w:rsidRPr="001618E6">
        <w:rPr>
          <w:sz w:val="24"/>
        </w:rPr>
        <w:t>SF</w:t>
      </w:r>
      <w:r w:rsidRPr="00822C78">
        <w:rPr>
          <w:sz w:val="24"/>
          <w:vertAlign w:val="subscript"/>
        </w:rPr>
        <w:t>6</w:t>
      </w:r>
      <w:r w:rsidRPr="001618E6">
        <w:rPr>
          <w:sz w:val="24"/>
        </w:rPr>
        <w:t>气体密度控制器是用来对高压电气设备内的</w:t>
      </w:r>
      <w:r w:rsidRPr="001618E6">
        <w:rPr>
          <w:sz w:val="24"/>
        </w:rPr>
        <w:t>SF</w:t>
      </w:r>
      <w:r w:rsidRPr="00CB3323">
        <w:rPr>
          <w:sz w:val="24"/>
          <w:vertAlign w:val="subscript"/>
        </w:rPr>
        <w:t>6</w:t>
      </w:r>
      <w:r w:rsidRPr="001618E6">
        <w:rPr>
          <w:sz w:val="24"/>
        </w:rPr>
        <w:t>气体密度进行监控的计量器具，它的准确与否对于高压电气设备的安全运行起着极其重要的作用；为此，国家质检总局于</w:t>
      </w:r>
      <w:r w:rsidRPr="001618E6">
        <w:rPr>
          <w:sz w:val="24"/>
        </w:rPr>
        <w:t>2011</w:t>
      </w:r>
      <w:r w:rsidRPr="001618E6">
        <w:rPr>
          <w:sz w:val="24"/>
        </w:rPr>
        <w:t>年</w:t>
      </w:r>
      <w:r w:rsidRPr="001618E6">
        <w:rPr>
          <w:sz w:val="24"/>
        </w:rPr>
        <w:t>12</w:t>
      </w:r>
      <w:r w:rsidRPr="001618E6">
        <w:rPr>
          <w:sz w:val="24"/>
        </w:rPr>
        <w:t>月</w:t>
      </w:r>
      <w:r w:rsidRPr="001618E6">
        <w:rPr>
          <w:sz w:val="24"/>
        </w:rPr>
        <w:t>28</w:t>
      </w:r>
      <w:r w:rsidRPr="001618E6">
        <w:rPr>
          <w:sz w:val="24"/>
        </w:rPr>
        <w:t>日发布了</w:t>
      </w:r>
      <w:r w:rsidRPr="001618E6">
        <w:rPr>
          <w:sz w:val="24"/>
        </w:rPr>
        <w:t>JJG1073-2011</w:t>
      </w:r>
      <w:r w:rsidRPr="001618E6">
        <w:rPr>
          <w:sz w:val="24"/>
        </w:rPr>
        <w:t>《压力式六氟化硫气体密度控制器》国家计量检定规程，规程实施以来，有效的规范了压力式</w:t>
      </w:r>
      <w:r w:rsidRPr="001618E6">
        <w:rPr>
          <w:sz w:val="24"/>
        </w:rPr>
        <w:t>SF6</w:t>
      </w:r>
      <w:r w:rsidRPr="001618E6">
        <w:rPr>
          <w:sz w:val="24"/>
        </w:rPr>
        <w:t>气体密度控制器的检定工作，为确保高压电气设备的正常运行提供了有力的技术支持。</w:t>
      </w:r>
    </w:p>
    <w:p w:rsidR="00B60A07" w:rsidRPr="001618E6" w:rsidRDefault="001618E6" w:rsidP="001618E6">
      <w:pPr>
        <w:spacing w:line="360" w:lineRule="auto"/>
        <w:ind w:firstLineChars="200" w:firstLine="480"/>
        <w:rPr>
          <w:sz w:val="24"/>
        </w:rPr>
      </w:pPr>
      <w:r w:rsidRPr="001618E6">
        <w:rPr>
          <w:sz w:val="24"/>
        </w:rPr>
        <w:t>近年来，随着生产技术和实际需求的发展，压力式</w:t>
      </w:r>
      <w:r w:rsidRPr="001618E6">
        <w:rPr>
          <w:sz w:val="24"/>
        </w:rPr>
        <w:t>SF</w:t>
      </w:r>
      <w:r w:rsidRPr="001C11EB">
        <w:rPr>
          <w:sz w:val="24"/>
          <w:vertAlign w:val="subscript"/>
        </w:rPr>
        <w:t>6</w:t>
      </w:r>
      <w:r w:rsidRPr="001618E6">
        <w:rPr>
          <w:sz w:val="24"/>
        </w:rPr>
        <w:t>气体密度控制器在测量范围、设定点允许偏差等技术要求方面</w:t>
      </w:r>
      <w:r>
        <w:rPr>
          <w:rFonts w:hint="eastAsia"/>
          <w:sz w:val="24"/>
        </w:rPr>
        <w:t>有所改变</w:t>
      </w:r>
      <w:r w:rsidRPr="001618E6">
        <w:rPr>
          <w:rFonts w:hint="eastAsia"/>
          <w:sz w:val="24"/>
        </w:rPr>
        <w:t>，</w:t>
      </w:r>
      <w:r>
        <w:rPr>
          <w:rFonts w:hint="eastAsia"/>
          <w:sz w:val="24"/>
        </w:rPr>
        <w:t>相应的国家标准也已经进行了修订，</w:t>
      </w:r>
      <w:r w:rsidRPr="001618E6">
        <w:rPr>
          <w:rFonts w:hint="eastAsia"/>
          <w:sz w:val="24"/>
        </w:rPr>
        <w:t>因此规程</w:t>
      </w:r>
      <w:r w:rsidRPr="001618E6">
        <w:rPr>
          <w:sz w:val="24"/>
        </w:rPr>
        <w:t>需要进行相应的</w:t>
      </w:r>
      <w:r w:rsidRPr="001618E6">
        <w:rPr>
          <w:rFonts w:hint="eastAsia"/>
          <w:sz w:val="24"/>
        </w:rPr>
        <w:t>调整</w:t>
      </w:r>
      <w:r w:rsidRPr="001618E6">
        <w:rPr>
          <w:sz w:val="24"/>
        </w:rPr>
        <w:t>；另外，由于传感器和自动化技术的发展，测量设备和检测技术也日趋自动化和智能化</w:t>
      </w:r>
      <w:r w:rsidRPr="001618E6">
        <w:rPr>
          <w:rFonts w:hint="eastAsia"/>
          <w:sz w:val="24"/>
        </w:rPr>
        <w:t>，</w:t>
      </w:r>
      <w:r w:rsidR="00822C78">
        <w:rPr>
          <w:rFonts w:hint="eastAsia"/>
          <w:sz w:val="24"/>
        </w:rPr>
        <w:t>也</w:t>
      </w:r>
      <w:r w:rsidRPr="001618E6">
        <w:rPr>
          <w:rFonts w:hint="eastAsia"/>
          <w:sz w:val="24"/>
        </w:rPr>
        <w:t>需要在规程中</w:t>
      </w:r>
      <w:r w:rsidR="00822C78">
        <w:rPr>
          <w:rFonts w:hint="eastAsia"/>
          <w:sz w:val="24"/>
        </w:rPr>
        <w:t>进行</w:t>
      </w:r>
      <w:r w:rsidRPr="001618E6">
        <w:rPr>
          <w:rFonts w:hint="eastAsia"/>
          <w:sz w:val="24"/>
        </w:rPr>
        <w:t>规定。</w:t>
      </w:r>
      <w:r w:rsidRPr="001618E6">
        <w:rPr>
          <w:sz w:val="24"/>
        </w:rPr>
        <w:t>因此，</w:t>
      </w:r>
      <w:r w:rsidRPr="001618E6">
        <w:rPr>
          <w:sz w:val="24"/>
        </w:rPr>
        <w:t>JJG1073-2011</w:t>
      </w:r>
      <w:r w:rsidRPr="001618E6">
        <w:rPr>
          <w:sz w:val="24"/>
        </w:rPr>
        <w:t>《压力式六氟化硫气体密度控制器》国家计量检定规程的部分内容需要进行相应的修订，以便于更好</w:t>
      </w:r>
      <w:r w:rsidRPr="001618E6">
        <w:rPr>
          <w:sz w:val="24"/>
        </w:rPr>
        <w:lastRenderedPageBreak/>
        <w:t>的开展检定工作。</w:t>
      </w:r>
    </w:p>
    <w:p w:rsidR="00B60A07" w:rsidRDefault="00B60A07">
      <w:pPr>
        <w:adjustRightInd w:val="0"/>
        <w:snapToGrid w:val="0"/>
        <w:spacing w:line="360" w:lineRule="auto"/>
        <w:jc w:val="left"/>
        <w:rPr>
          <w:rFonts w:ascii="宋体" w:hAnsi="宋体"/>
          <w:b/>
          <w:sz w:val="24"/>
        </w:rPr>
      </w:pPr>
      <w:r>
        <w:rPr>
          <w:rFonts w:ascii="宋体" w:hAnsi="宋体" w:hint="eastAsia"/>
          <w:b/>
          <w:sz w:val="24"/>
        </w:rPr>
        <w:t>三、规范制订简要过程</w:t>
      </w:r>
    </w:p>
    <w:p w:rsidR="001C11EB" w:rsidRDefault="001C11EB" w:rsidP="001C11EB">
      <w:pPr>
        <w:numPr>
          <w:ilvl w:val="0"/>
          <w:numId w:val="2"/>
        </w:numPr>
        <w:spacing w:line="360" w:lineRule="auto"/>
        <w:rPr>
          <w:sz w:val="24"/>
        </w:rPr>
      </w:pPr>
      <w:r>
        <w:rPr>
          <w:rFonts w:hint="eastAsia"/>
          <w:sz w:val="24"/>
        </w:rPr>
        <w:t>调研情况</w:t>
      </w:r>
    </w:p>
    <w:p w:rsidR="00B60A07" w:rsidRDefault="00B60A07" w:rsidP="001C11EB">
      <w:pPr>
        <w:tabs>
          <w:tab w:val="left" w:pos="180"/>
        </w:tabs>
        <w:adjustRightInd w:val="0"/>
        <w:snapToGrid w:val="0"/>
        <w:spacing w:line="360" w:lineRule="auto"/>
        <w:jc w:val="left"/>
        <w:rPr>
          <w:kern w:val="0"/>
          <w:sz w:val="24"/>
        </w:rPr>
      </w:pPr>
      <w:r>
        <w:rPr>
          <w:rFonts w:hint="eastAsia"/>
          <w:kern w:val="0"/>
          <w:sz w:val="24"/>
        </w:rPr>
        <w:t>规范修订任务批准立项后，起草小组对</w:t>
      </w:r>
      <w:r w:rsidR="001C11EB" w:rsidRPr="001618E6">
        <w:rPr>
          <w:sz w:val="24"/>
        </w:rPr>
        <w:t>压力式</w:t>
      </w:r>
      <w:r w:rsidR="001C11EB" w:rsidRPr="001618E6">
        <w:rPr>
          <w:sz w:val="24"/>
        </w:rPr>
        <w:t>SF</w:t>
      </w:r>
      <w:r w:rsidR="001C11EB" w:rsidRPr="001C11EB">
        <w:rPr>
          <w:sz w:val="24"/>
          <w:vertAlign w:val="subscript"/>
        </w:rPr>
        <w:t>6</w:t>
      </w:r>
      <w:r w:rsidR="001C11EB" w:rsidRPr="001618E6">
        <w:rPr>
          <w:sz w:val="24"/>
        </w:rPr>
        <w:t>气体密度控制器</w:t>
      </w:r>
      <w:r>
        <w:rPr>
          <w:rFonts w:hint="eastAsia"/>
          <w:kern w:val="0"/>
          <w:sz w:val="24"/>
        </w:rPr>
        <w:t>的主要生产厂家和使用单位进行了大量的调研并广泛听取了意见，对产品的生产</w:t>
      </w:r>
      <w:r w:rsidR="00B27974">
        <w:rPr>
          <w:rFonts w:hint="eastAsia"/>
          <w:kern w:val="0"/>
          <w:sz w:val="24"/>
        </w:rPr>
        <w:t>情况</w:t>
      </w:r>
      <w:r>
        <w:rPr>
          <w:rFonts w:hint="eastAsia"/>
          <w:kern w:val="0"/>
          <w:sz w:val="24"/>
        </w:rPr>
        <w:t>、</w:t>
      </w:r>
      <w:r w:rsidR="00B27974">
        <w:rPr>
          <w:rFonts w:hint="eastAsia"/>
          <w:kern w:val="0"/>
          <w:sz w:val="24"/>
        </w:rPr>
        <w:t>使用情况以及相关国家标准的修订情况进行</w:t>
      </w:r>
      <w:r>
        <w:rPr>
          <w:rFonts w:hint="eastAsia"/>
          <w:kern w:val="0"/>
          <w:sz w:val="24"/>
        </w:rPr>
        <w:t>了</w:t>
      </w:r>
      <w:r w:rsidR="00822C78">
        <w:rPr>
          <w:rFonts w:hint="eastAsia"/>
          <w:kern w:val="0"/>
          <w:sz w:val="24"/>
        </w:rPr>
        <w:t>深入</w:t>
      </w:r>
      <w:r>
        <w:rPr>
          <w:rFonts w:hint="eastAsia"/>
          <w:kern w:val="0"/>
          <w:sz w:val="24"/>
        </w:rPr>
        <w:t>的了解</w:t>
      </w:r>
      <w:r w:rsidR="00B27974">
        <w:rPr>
          <w:rFonts w:hint="eastAsia"/>
          <w:kern w:val="0"/>
          <w:sz w:val="24"/>
        </w:rPr>
        <w:t>；起草小组先后走访了</w:t>
      </w:r>
      <w:r w:rsidR="00B27974" w:rsidRPr="00B27974">
        <w:rPr>
          <w:rFonts w:hint="eastAsia"/>
          <w:kern w:val="0"/>
          <w:sz w:val="24"/>
        </w:rPr>
        <w:t>威卡自动化仪表</w:t>
      </w:r>
      <w:r w:rsidR="00B27974" w:rsidRPr="00B27974">
        <w:rPr>
          <w:rFonts w:hint="eastAsia"/>
          <w:kern w:val="0"/>
          <w:sz w:val="24"/>
        </w:rPr>
        <w:t>(</w:t>
      </w:r>
      <w:r w:rsidR="00B27974" w:rsidRPr="00B27974">
        <w:rPr>
          <w:rFonts w:hint="eastAsia"/>
          <w:kern w:val="0"/>
          <w:sz w:val="24"/>
        </w:rPr>
        <w:t>苏州</w:t>
      </w:r>
      <w:r w:rsidR="00B27974" w:rsidRPr="00B27974">
        <w:rPr>
          <w:rFonts w:hint="eastAsia"/>
          <w:kern w:val="0"/>
          <w:sz w:val="24"/>
        </w:rPr>
        <w:t>)</w:t>
      </w:r>
      <w:r w:rsidR="00B27974" w:rsidRPr="00B27974">
        <w:rPr>
          <w:rFonts w:hint="eastAsia"/>
          <w:kern w:val="0"/>
          <w:sz w:val="24"/>
        </w:rPr>
        <w:t>有限公司</w:t>
      </w:r>
      <w:r w:rsidR="00B27974">
        <w:rPr>
          <w:rFonts w:hint="eastAsia"/>
          <w:kern w:val="0"/>
          <w:sz w:val="24"/>
        </w:rPr>
        <w:t>、</w:t>
      </w:r>
      <w:r w:rsidR="00D24979" w:rsidRPr="00D24979">
        <w:rPr>
          <w:rFonts w:hint="eastAsia"/>
          <w:kern w:val="0"/>
          <w:sz w:val="24"/>
        </w:rPr>
        <w:t>上海乐研电气有限公司</w:t>
      </w:r>
      <w:r w:rsidR="00D24979">
        <w:rPr>
          <w:rFonts w:hint="eastAsia"/>
          <w:kern w:val="0"/>
          <w:sz w:val="24"/>
        </w:rPr>
        <w:t>、河南平高电气股份有限公司等生产企业和使用单位，听取他们对于规程修订所提出的建议。</w:t>
      </w:r>
    </w:p>
    <w:p w:rsidR="00D24979" w:rsidRDefault="00D24979" w:rsidP="00D24979">
      <w:pPr>
        <w:tabs>
          <w:tab w:val="left" w:pos="180"/>
        </w:tabs>
        <w:adjustRightInd w:val="0"/>
        <w:snapToGrid w:val="0"/>
        <w:spacing w:line="360" w:lineRule="auto"/>
        <w:jc w:val="left"/>
        <w:rPr>
          <w:kern w:val="0"/>
          <w:sz w:val="24"/>
        </w:rPr>
      </w:pPr>
      <w:r>
        <w:rPr>
          <w:rFonts w:hint="eastAsia"/>
          <w:kern w:val="0"/>
          <w:sz w:val="24"/>
        </w:rPr>
        <w:t xml:space="preserve">2. </w:t>
      </w:r>
      <w:r>
        <w:rPr>
          <w:rFonts w:hint="eastAsia"/>
          <w:kern w:val="0"/>
          <w:sz w:val="24"/>
        </w:rPr>
        <w:t>根据调研情况，起草组进行了大量的验证试验，在试验数据的支持下确定了相关技术要求和修订内容并再次征求了部分生产企业和使用单位的意见。</w:t>
      </w:r>
    </w:p>
    <w:p w:rsidR="00B60A07" w:rsidRDefault="00D24979" w:rsidP="00D24979">
      <w:pPr>
        <w:tabs>
          <w:tab w:val="left" w:pos="180"/>
        </w:tabs>
        <w:adjustRightInd w:val="0"/>
        <w:snapToGrid w:val="0"/>
        <w:spacing w:line="360" w:lineRule="auto"/>
        <w:jc w:val="left"/>
        <w:rPr>
          <w:kern w:val="0"/>
          <w:sz w:val="24"/>
        </w:rPr>
      </w:pPr>
      <w:r>
        <w:rPr>
          <w:rFonts w:hint="eastAsia"/>
          <w:kern w:val="0"/>
          <w:sz w:val="24"/>
        </w:rPr>
        <w:t>3.</w:t>
      </w:r>
      <w:r>
        <w:rPr>
          <w:rFonts w:hint="eastAsia"/>
          <w:kern w:val="0"/>
          <w:sz w:val="24"/>
        </w:rPr>
        <w:t>在</w:t>
      </w:r>
      <w:r w:rsidR="00F20C4C">
        <w:rPr>
          <w:rFonts w:hint="eastAsia"/>
          <w:kern w:val="0"/>
          <w:sz w:val="24"/>
        </w:rPr>
        <w:t>验证实验</w:t>
      </w:r>
      <w:r>
        <w:rPr>
          <w:rFonts w:hint="eastAsia"/>
          <w:kern w:val="0"/>
          <w:sz w:val="24"/>
        </w:rPr>
        <w:t>和听取意见的基础上，</w:t>
      </w:r>
      <w:r w:rsidR="00971C9E">
        <w:rPr>
          <w:rFonts w:hint="eastAsia"/>
          <w:kern w:val="0"/>
          <w:sz w:val="24"/>
        </w:rPr>
        <w:t>起草组于</w:t>
      </w:r>
      <w:r w:rsidR="00971C9E">
        <w:rPr>
          <w:rFonts w:hint="eastAsia"/>
          <w:kern w:val="0"/>
          <w:sz w:val="24"/>
        </w:rPr>
        <w:t>2021</w:t>
      </w:r>
      <w:r w:rsidR="00971C9E">
        <w:rPr>
          <w:rFonts w:hint="eastAsia"/>
          <w:kern w:val="0"/>
          <w:sz w:val="24"/>
        </w:rPr>
        <w:t>年</w:t>
      </w:r>
      <w:r w:rsidR="00971C9E">
        <w:rPr>
          <w:rFonts w:hint="eastAsia"/>
          <w:kern w:val="0"/>
          <w:sz w:val="24"/>
        </w:rPr>
        <w:t>10</w:t>
      </w:r>
      <w:r w:rsidR="00971C9E">
        <w:rPr>
          <w:rFonts w:hint="eastAsia"/>
          <w:kern w:val="0"/>
          <w:sz w:val="24"/>
        </w:rPr>
        <w:t>月</w:t>
      </w:r>
      <w:r w:rsidR="00B60A07">
        <w:rPr>
          <w:rFonts w:hint="eastAsia"/>
          <w:kern w:val="0"/>
          <w:sz w:val="24"/>
        </w:rPr>
        <w:t>完成</w:t>
      </w:r>
      <w:r w:rsidR="00971C9E">
        <w:rPr>
          <w:rFonts w:hint="eastAsia"/>
          <w:kern w:val="0"/>
          <w:sz w:val="24"/>
        </w:rPr>
        <w:t>了</w:t>
      </w:r>
      <w:r w:rsidR="00B60A07">
        <w:rPr>
          <w:rFonts w:hint="eastAsia"/>
          <w:kern w:val="0"/>
          <w:sz w:val="24"/>
        </w:rPr>
        <w:t>初稿</w:t>
      </w:r>
      <w:r>
        <w:rPr>
          <w:rFonts w:hint="eastAsia"/>
          <w:kern w:val="0"/>
          <w:sz w:val="24"/>
        </w:rPr>
        <w:t>的编写并在起草</w:t>
      </w:r>
      <w:r w:rsidR="00B60A07">
        <w:rPr>
          <w:rFonts w:hint="eastAsia"/>
          <w:kern w:val="0"/>
          <w:sz w:val="24"/>
        </w:rPr>
        <w:t>组内部进行讨论，根据讨论结果及</w:t>
      </w:r>
      <w:r w:rsidR="00971C9E">
        <w:rPr>
          <w:rFonts w:hint="eastAsia"/>
          <w:kern w:val="0"/>
          <w:sz w:val="24"/>
        </w:rPr>
        <w:t>验证</w:t>
      </w:r>
      <w:r w:rsidR="00B60A07">
        <w:rPr>
          <w:rFonts w:hint="eastAsia"/>
          <w:kern w:val="0"/>
          <w:sz w:val="24"/>
        </w:rPr>
        <w:t>实验</w:t>
      </w:r>
      <w:r w:rsidR="00971C9E">
        <w:rPr>
          <w:rFonts w:hint="eastAsia"/>
          <w:kern w:val="0"/>
          <w:sz w:val="24"/>
        </w:rPr>
        <w:t>的情况</w:t>
      </w:r>
      <w:r w:rsidR="00B60A07">
        <w:rPr>
          <w:rFonts w:hint="eastAsia"/>
          <w:kern w:val="0"/>
          <w:sz w:val="24"/>
        </w:rPr>
        <w:t>，</w:t>
      </w:r>
      <w:r w:rsidR="00971C9E">
        <w:rPr>
          <w:rFonts w:hint="eastAsia"/>
          <w:kern w:val="0"/>
          <w:sz w:val="24"/>
        </w:rPr>
        <w:t>完成了征求意见稿</w:t>
      </w:r>
      <w:r w:rsidR="00B60A07">
        <w:rPr>
          <w:rFonts w:hint="eastAsia"/>
          <w:kern w:val="0"/>
          <w:sz w:val="24"/>
        </w:rPr>
        <w:t>。</w:t>
      </w:r>
    </w:p>
    <w:p w:rsidR="00B60A07" w:rsidRDefault="00B60A07">
      <w:pPr>
        <w:adjustRightInd w:val="0"/>
        <w:snapToGrid w:val="0"/>
        <w:spacing w:line="360" w:lineRule="auto"/>
        <w:jc w:val="left"/>
        <w:rPr>
          <w:rFonts w:ascii="宋体" w:hAnsi="宋体"/>
          <w:b/>
          <w:sz w:val="24"/>
        </w:rPr>
      </w:pPr>
      <w:r>
        <w:rPr>
          <w:rFonts w:ascii="宋体" w:hAnsi="宋体" w:hint="eastAsia"/>
          <w:b/>
          <w:sz w:val="24"/>
        </w:rPr>
        <w:t>四、主要</w:t>
      </w:r>
      <w:r w:rsidR="00A13F5A">
        <w:rPr>
          <w:rFonts w:ascii="宋体" w:hAnsi="宋体" w:hint="eastAsia"/>
          <w:b/>
          <w:sz w:val="24"/>
        </w:rPr>
        <w:t>修订</w:t>
      </w:r>
      <w:r>
        <w:rPr>
          <w:rFonts w:ascii="宋体" w:hAnsi="宋体" w:hint="eastAsia"/>
          <w:b/>
          <w:sz w:val="24"/>
        </w:rPr>
        <w:t>内容</w:t>
      </w:r>
    </w:p>
    <w:p w:rsidR="00B51763" w:rsidRPr="009413E3" w:rsidRDefault="00B51763" w:rsidP="00B51763">
      <w:pPr>
        <w:spacing w:line="360" w:lineRule="auto"/>
        <w:rPr>
          <w:sz w:val="24"/>
        </w:rPr>
      </w:pPr>
      <w:r w:rsidRPr="009413E3">
        <w:rPr>
          <w:rFonts w:hint="eastAsia"/>
          <w:sz w:val="24"/>
        </w:rPr>
        <w:t>1</w:t>
      </w:r>
      <w:r w:rsidRPr="009413E3">
        <w:rPr>
          <w:rFonts w:hint="eastAsia"/>
          <w:sz w:val="24"/>
        </w:rPr>
        <w:t>、对适用范围进行了调整；</w:t>
      </w:r>
    </w:p>
    <w:p w:rsidR="0071148D" w:rsidRPr="009413E3" w:rsidRDefault="0071148D" w:rsidP="00B51763">
      <w:pPr>
        <w:spacing w:line="360" w:lineRule="auto"/>
        <w:rPr>
          <w:sz w:val="24"/>
        </w:rPr>
      </w:pPr>
      <w:r w:rsidRPr="009413E3">
        <w:rPr>
          <w:rFonts w:hint="eastAsia"/>
          <w:sz w:val="24"/>
        </w:rPr>
        <w:t>调整后的适用范围为：“本规程适用于以弹簧管</w:t>
      </w:r>
      <w:r w:rsidRPr="009413E3">
        <w:rPr>
          <w:sz w:val="24"/>
        </w:rPr>
        <w:t>或波纹管</w:t>
      </w:r>
      <w:r w:rsidRPr="009413E3">
        <w:rPr>
          <w:rFonts w:hint="eastAsia"/>
          <w:sz w:val="24"/>
        </w:rPr>
        <w:t>为测量元件、测量范围为（</w:t>
      </w:r>
      <w:r w:rsidRPr="009413E3">
        <w:rPr>
          <w:rFonts w:hint="eastAsia"/>
          <w:sz w:val="24"/>
        </w:rPr>
        <w:t>-</w:t>
      </w:r>
      <w:r w:rsidRPr="009413E3">
        <w:rPr>
          <w:sz w:val="24"/>
        </w:rPr>
        <w:t>0.1</w:t>
      </w:r>
      <w:r w:rsidRPr="009413E3">
        <w:rPr>
          <w:rFonts w:hint="eastAsia"/>
          <w:sz w:val="24"/>
        </w:rPr>
        <w:t>～</w:t>
      </w:r>
      <w:r w:rsidRPr="009413E3">
        <w:rPr>
          <w:sz w:val="24"/>
        </w:rPr>
        <w:t>0.9</w:t>
      </w:r>
      <w:r w:rsidRPr="009413E3">
        <w:rPr>
          <w:rFonts w:hint="eastAsia"/>
          <w:sz w:val="24"/>
        </w:rPr>
        <w:t>）</w:t>
      </w:r>
      <w:proofErr w:type="spellStart"/>
      <w:r w:rsidRPr="009413E3">
        <w:rPr>
          <w:rFonts w:hint="eastAsia"/>
          <w:sz w:val="24"/>
        </w:rPr>
        <w:t>MPa</w:t>
      </w:r>
      <w:proofErr w:type="spellEnd"/>
      <w:r w:rsidRPr="009413E3">
        <w:rPr>
          <w:rFonts w:hint="eastAsia"/>
          <w:sz w:val="24"/>
        </w:rPr>
        <w:t>或（</w:t>
      </w:r>
      <w:r w:rsidRPr="009413E3">
        <w:rPr>
          <w:rFonts w:hint="eastAsia"/>
          <w:sz w:val="24"/>
        </w:rPr>
        <w:t>-</w:t>
      </w:r>
      <w:r w:rsidRPr="009413E3">
        <w:rPr>
          <w:sz w:val="24"/>
        </w:rPr>
        <w:t>0.1</w:t>
      </w:r>
      <w:r w:rsidRPr="009413E3">
        <w:rPr>
          <w:rFonts w:hint="eastAsia"/>
          <w:sz w:val="24"/>
        </w:rPr>
        <w:t>～</w:t>
      </w:r>
      <w:r w:rsidRPr="009413E3">
        <w:rPr>
          <w:sz w:val="24"/>
        </w:rPr>
        <w:t>0.</w:t>
      </w:r>
      <w:r w:rsidRPr="009413E3">
        <w:rPr>
          <w:rFonts w:hint="eastAsia"/>
          <w:sz w:val="24"/>
        </w:rPr>
        <w:t>5</w:t>
      </w:r>
      <w:r w:rsidRPr="009413E3">
        <w:rPr>
          <w:rFonts w:hint="eastAsia"/>
          <w:sz w:val="24"/>
        </w:rPr>
        <w:t>）</w:t>
      </w:r>
      <w:proofErr w:type="spellStart"/>
      <w:r w:rsidRPr="009413E3">
        <w:rPr>
          <w:rFonts w:hint="eastAsia"/>
          <w:sz w:val="24"/>
        </w:rPr>
        <w:t>MPa</w:t>
      </w:r>
      <w:proofErr w:type="spellEnd"/>
      <w:r w:rsidRPr="009413E3">
        <w:rPr>
          <w:rFonts w:hint="eastAsia"/>
          <w:sz w:val="24"/>
        </w:rPr>
        <w:t>、工作介质为六氟化硫气体或六氟化硫混合气体的压力式六氟化硫（</w:t>
      </w:r>
      <w:r w:rsidRPr="009413E3">
        <w:rPr>
          <w:rFonts w:hint="eastAsia"/>
          <w:sz w:val="24"/>
        </w:rPr>
        <w:t>SF6</w:t>
      </w:r>
      <w:r w:rsidRPr="009413E3">
        <w:rPr>
          <w:rFonts w:hint="eastAsia"/>
          <w:sz w:val="24"/>
        </w:rPr>
        <w:t>）气体密度控制器（或称气体密度继电器、气体密度监视器，以下简称“控制器”）的首次检定、后续检定和使用中检查。”</w:t>
      </w:r>
    </w:p>
    <w:p w:rsidR="0071148D" w:rsidRPr="009413E3" w:rsidRDefault="00B51763" w:rsidP="00B51763">
      <w:pPr>
        <w:spacing w:line="360" w:lineRule="auto"/>
        <w:rPr>
          <w:rFonts w:ascii="宋体"/>
          <w:bCs/>
          <w:sz w:val="24"/>
        </w:rPr>
      </w:pPr>
      <w:r w:rsidRPr="009413E3">
        <w:rPr>
          <w:rFonts w:ascii="宋体" w:hint="eastAsia"/>
          <w:bCs/>
          <w:sz w:val="24"/>
        </w:rPr>
        <w:t>2、</w:t>
      </w:r>
      <w:r w:rsidR="005C4AF0" w:rsidRPr="009413E3">
        <w:rPr>
          <w:rFonts w:ascii="宋体" w:hint="eastAsia"/>
          <w:bCs/>
          <w:sz w:val="24"/>
        </w:rPr>
        <w:t>对控制器</w:t>
      </w:r>
      <w:r w:rsidRPr="009413E3">
        <w:rPr>
          <w:rFonts w:ascii="宋体" w:hint="eastAsia"/>
          <w:bCs/>
          <w:sz w:val="24"/>
        </w:rPr>
        <w:t>准确度等级和最大允许误差</w:t>
      </w:r>
      <w:r w:rsidR="009B573C" w:rsidRPr="009413E3">
        <w:rPr>
          <w:rFonts w:ascii="宋体" w:hint="eastAsia"/>
          <w:bCs/>
          <w:sz w:val="24"/>
        </w:rPr>
        <w:t>的</w:t>
      </w:r>
      <w:r w:rsidRPr="009413E3">
        <w:rPr>
          <w:rFonts w:ascii="宋体" w:hint="eastAsia"/>
          <w:bCs/>
          <w:sz w:val="24"/>
        </w:rPr>
        <w:t>技术要求</w:t>
      </w:r>
      <w:r w:rsidR="009B573C" w:rsidRPr="009413E3">
        <w:rPr>
          <w:rFonts w:ascii="宋体" w:hint="eastAsia"/>
          <w:bCs/>
          <w:sz w:val="24"/>
        </w:rPr>
        <w:t>进行了调整</w:t>
      </w:r>
      <w:r w:rsidRPr="009413E3">
        <w:rPr>
          <w:rFonts w:ascii="宋体" w:hint="eastAsia"/>
          <w:bCs/>
          <w:sz w:val="24"/>
        </w:rPr>
        <w:t>；</w:t>
      </w:r>
      <w:r w:rsidR="0071148D" w:rsidRPr="009413E3">
        <w:rPr>
          <w:rFonts w:ascii="宋体" w:hint="eastAsia"/>
          <w:bCs/>
          <w:sz w:val="24"/>
        </w:rPr>
        <w:t>调整后的</w:t>
      </w:r>
      <w:r w:rsidR="005C4AF0" w:rsidRPr="009413E3">
        <w:rPr>
          <w:rFonts w:ascii="宋体" w:hint="eastAsia"/>
          <w:bCs/>
          <w:sz w:val="24"/>
        </w:rPr>
        <w:t>准确度等级和最大允许误差的技术要求</w:t>
      </w:r>
      <w:r w:rsidR="0071148D" w:rsidRPr="009413E3">
        <w:rPr>
          <w:rFonts w:ascii="宋体" w:hint="eastAsia"/>
          <w:bCs/>
          <w:sz w:val="24"/>
        </w:rPr>
        <w:t>如表1所示：</w:t>
      </w:r>
    </w:p>
    <w:tbl>
      <w:tblPr>
        <w:tblStyle w:val="a9"/>
        <w:tblW w:w="8080" w:type="dxa"/>
        <w:tblInd w:w="675" w:type="dxa"/>
        <w:tblLayout w:type="fixed"/>
        <w:tblLook w:val="04A0"/>
      </w:tblPr>
      <w:tblGrid>
        <w:gridCol w:w="1276"/>
        <w:gridCol w:w="1134"/>
        <w:gridCol w:w="4253"/>
        <w:gridCol w:w="1417"/>
      </w:tblGrid>
      <w:tr w:rsidR="0071148D" w:rsidRPr="009413E3" w:rsidTr="008973AC">
        <w:tc>
          <w:tcPr>
            <w:tcW w:w="1276" w:type="dxa"/>
            <w:vMerge w:val="restart"/>
            <w:vAlign w:val="center"/>
          </w:tcPr>
          <w:p w:rsidR="0071148D" w:rsidRPr="009413E3" w:rsidRDefault="0071148D" w:rsidP="008973AC">
            <w:pPr>
              <w:spacing w:line="360" w:lineRule="auto"/>
              <w:jc w:val="center"/>
              <w:rPr>
                <w:rFonts w:asciiTheme="minorEastAsia" w:eastAsiaTheme="minorEastAsia" w:hAnsiTheme="minorEastAsia"/>
                <w:bCs/>
              </w:rPr>
            </w:pPr>
            <w:r w:rsidRPr="009413E3">
              <w:rPr>
                <w:rFonts w:asciiTheme="minorEastAsia" w:eastAsiaTheme="minorEastAsia" w:hAnsiTheme="minorEastAsia" w:hint="eastAsia"/>
                <w:bCs/>
              </w:rPr>
              <w:t>准确度等级</w:t>
            </w:r>
          </w:p>
        </w:tc>
        <w:tc>
          <w:tcPr>
            <w:tcW w:w="6804" w:type="dxa"/>
            <w:gridSpan w:val="3"/>
            <w:vAlign w:val="center"/>
          </w:tcPr>
          <w:p w:rsidR="0071148D" w:rsidRPr="009413E3" w:rsidRDefault="0071148D" w:rsidP="008973AC">
            <w:pPr>
              <w:spacing w:line="360" w:lineRule="auto"/>
              <w:jc w:val="center"/>
              <w:rPr>
                <w:rFonts w:asciiTheme="minorEastAsia" w:eastAsiaTheme="minorEastAsia" w:hAnsiTheme="minorEastAsia"/>
                <w:bCs/>
              </w:rPr>
            </w:pPr>
            <w:r w:rsidRPr="009413E3">
              <w:rPr>
                <w:rFonts w:asciiTheme="minorEastAsia" w:eastAsiaTheme="minorEastAsia" w:hAnsiTheme="minorEastAsia" w:hint="eastAsia"/>
                <w:bCs/>
              </w:rPr>
              <w:t>最大允许误差/%（以量程的百分数表示）</w:t>
            </w:r>
          </w:p>
        </w:tc>
      </w:tr>
      <w:tr w:rsidR="0071148D" w:rsidRPr="009413E3" w:rsidTr="008973AC">
        <w:tc>
          <w:tcPr>
            <w:tcW w:w="1276" w:type="dxa"/>
            <w:vMerge/>
            <w:vAlign w:val="center"/>
          </w:tcPr>
          <w:p w:rsidR="0071148D" w:rsidRPr="009413E3" w:rsidRDefault="0071148D" w:rsidP="008973AC">
            <w:pPr>
              <w:spacing w:line="360" w:lineRule="auto"/>
              <w:jc w:val="center"/>
              <w:rPr>
                <w:rFonts w:asciiTheme="minorEastAsia" w:eastAsiaTheme="minorEastAsia" w:hAnsiTheme="minorEastAsia"/>
                <w:bCs/>
              </w:rPr>
            </w:pPr>
          </w:p>
        </w:tc>
        <w:tc>
          <w:tcPr>
            <w:tcW w:w="1134" w:type="dxa"/>
            <w:vAlign w:val="center"/>
          </w:tcPr>
          <w:p w:rsidR="0071148D" w:rsidRPr="009413E3" w:rsidRDefault="0071148D" w:rsidP="008973AC">
            <w:pPr>
              <w:spacing w:line="360" w:lineRule="auto"/>
              <w:jc w:val="center"/>
              <w:rPr>
                <w:rFonts w:ascii="宋体" w:hAnsi="宋体"/>
                <w:bCs/>
              </w:rPr>
            </w:pPr>
            <w:r w:rsidRPr="009413E3">
              <w:rPr>
                <w:rFonts w:asciiTheme="minorEastAsia" w:eastAsiaTheme="minorEastAsia" w:hAnsiTheme="minorEastAsia" w:hint="eastAsia"/>
                <w:bCs/>
              </w:rPr>
              <w:t>零位</w:t>
            </w:r>
          </w:p>
        </w:tc>
        <w:tc>
          <w:tcPr>
            <w:tcW w:w="4253" w:type="dxa"/>
            <w:vAlign w:val="center"/>
          </w:tcPr>
          <w:p w:rsidR="0071148D" w:rsidRPr="009413E3" w:rsidRDefault="0071148D" w:rsidP="008973AC">
            <w:pPr>
              <w:spacing w:line="360" w:lineRule="auto"/>
              <w:jc w:val="center"/>
              <w:rPr>
                <w:rFonts w:asciiTheme="minorEastAsia" w:eastAsiaTheme="minorEastAsia" w:hAnsiTheme="minorEastAsia"/>
                <w:bCs/>
              </w:rPr>
            </w:pPr>
            <w:r w:rsidRPr="009413E3">
              <w:rPr>
                <w:rFonts w:asciiTheme="minorEastAsia" w:eastAsiaTheme="minorEastAsia" w:hAnsiTheme="minorEastAsia"/>
                <w:bCs/>
              </w:rPr>
              <w:t>闭锁压力以下第一个</w:t>
            </w:r>
            <w:r w:rsidRPr="009413E3">
              <w:rPr>
                <w:rFonts w:asciiTheme="minorEastAsia" w:eastAsiaTheme="minorEastAsia" w:hAnsiTheme="minorEastAsia" w:hint="eastAsia"/>
                <w:bCs/>
              </w:rPr>
              <w:t>检定</w:t>
            </w:r>
            <w:r w:rsidRPr="009413E3">
              <w:rPr>
                <w:rFonts w:asciiTheme="minorEastAsia" w:eastAsiaTheme="minorEastAsia" w:hAnsiTheme="minorEastAsia"/>
                <w:bCs/>
              </w:rPr>
              <w:t>点</w:t>
            </w:r>
            <w:r w:rsidRPr="009413E3">
              <w:rPr>
                <w:rFonts w:asciiTheme="minorEastAsia" w:eastAsiaTheme="minorEastAsia" w:hAnsiTheme="minorEastAsia" w:hint="eastAsia"/>
                <w:bCs/>
              </w:rPr>
              <w:t>～额定压力以上第一个检定点（含额定压力点）</w:t>
            </w:r>
          </w:p>
        </w:tc>
        <w:tc>
          <w:tcPr>
            <w:tcW w:w="1417" w:type="dxa"/>
            <w:vAlign w:val="center"/>
          </w:tcPr>
          <w:p w:rsidR="0071148D" w:rsidRPr="009413E3" w:rsidRDefault="0071148D" w:rsidP="008973AC">
            <w:pPr>
              <w:spacing w:line="360" w:lineRule="auto"/>
              <w:jc w:val="center"/>
              <w:rPr>
                <w:rFonts w:asciiTheme="minorEastAsia" w:eastAsiaTheme="minorEastAsia" w:hAnsiTheme="minorEastAsia"/>
                <w:bCs/>
              </w:rPr>
            </w:pPr>
            <w:r w:rsidRPr="009413E3">
              <w:rPr>
                <w:rFonts w:asciiTheme="minorEastAsia" w:eastAsiaTheme="minorEastAsia" w:hAnsiTheme="minorEastAsia"/>
                <w:bCs/>
              </w:rPr>
              <w:t>其余部分</w:t>
            </w:r>
          </w:p>
        </w:tc>
      </w:tr>
      <w:tr w:rsidR="0071148D" w:rsidRPr="009413E3" w:rsidTr="008973AC">
        <w:tc>
          <w:tcPr>
            <w:tcW w:w="1276" w:type="dxa"/>
            <w:vAlign w:val="center"/>
          </w:tcPr>
          <w:p w:rsidR="0071148D" w:rsidRPr="009413E3" w:rsidRDefault="0071148D" w:rsidP="008973AC">
            <w:pPr>
              <w:spacing w:line="360" w:lineRule="auto"/>
              <w:jc w:val="center"/>
              <w:rPr>
                <w:rFonts w:asciiTheme="minorEastAsia" w:eastAsiaTheme="minorEastAsia" w:hAnsiTheme="minorEastAsia"/>
                <w:bCs/>
              </w:rPr>
            </w:pPr>
            <w:r w:rsidRPr="009413E3">
              <w:rPr>
                <w:rFonts w:asciiTheme="minorEastAsia" w:eastAsiaTheme="minorEastAsia" w:hAnsiTheme="minorEastAsia" w:hint="eastAsia"/>
                <w:bCs/>
              </w:rPr>
              <w:t>1.0</w:t>
            </w:r>
          </w:p>
        </w:tc>
        <w:tc>
          <w:tcPr>
            <w:tcW w:w="1134" w:type="dxa"/>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±1.0</w:t>
            </w:r>
          </w:p>
        </w:tc>
        <w:tc>
          <w:tcPr>
            <w:tcW w:w="4253" w:type="dxa"/>
            <w:vAlign w:val="center"/>
          </w:tcPr>
          <w:p w:rsidR="0071148D" w:rsidRPr="009413E3" w:rsidRDefault="0071148D" w:rsidP="008973AC">
            <w:pPr>
              <w:spacing w:line="360" w:lineRule="auto"/>
              <w:ind w:firstLine="420"/>
              <w:jc w:val="center"/>
              <w:rPr>
                <w:rFonts w:ascii="宋体" w:hAnsi="宋体"/>
                <w:bCs/>
              </w:rPr>
            </w:pPr>
            <w:r w:rsidRPr="009413E3">
              <w:rPr>
                <w:rFonts w:ascii="宋体" w:hAnsi="宋体" w:hint="eastAsia"/>
                <w:bCs/>
              </w:rPr>
              <w:t>±1.0</w:t>
            </w:r>
          </w:p>
        </w:tc>
        <w:tc>
          <w:tcPr>
            <w:tcW w:w="1417" w:type="dxa"/>
            <w:vAlign w:val="center"/>
          </w:tcPr>
          <w:p w:rsidR="0071148D" w:rsidRPr="009413E3" w:rsidRDefault="0071148D" w:rsidP="008973AC">
            <w:pPr>
              <w:spacing w:line="360" w:lineRule="auto"/>
              <w:ind w:firstLine="420"/>
              <w:jc w:val="center"/>
              <w:rPr>
                <w:rFonts w:ascii="宋体" w:hAnsi="宋体"/>
                <w:bCs/>
              </w:rPr>
            </w:pPr>
            <w:r w:rsidRPr="009413E3">
              <w:rPr>
                <w:rFonts w:ascii="宋体" w:hAnsi="宋体" w:hint="eastAsia"/>
                <w:bCs/>
              </w:rPr>
              <w:t>±1.6</w:t>
            </w:r>
          </w:p>
        </w:tc>
      </w:tr>
      <w:tr w:rsidR="0071148D" w:rsidRPr="009413E3" w:rsidTr="008973AC">
        <w:tc>
          <w:tcPr>
            <w:tcW w:w="1276" w:type="dxa"/>
            <w:vAlign w:val="center"/>
          </w:tcPr>
          <w:p w:rsidR="0071148D" w:rsidRPr="009413E3" w:rsidRDefault="0071148D" w:rsidP="008973AC">
            <w:pPr>
              <w:spacing w:line="360" w:lineRule="auto"/>
              <w:jc w:val="center"/>
              <w:rPr>
                <w:rFonts w:asciiTheme="minorEastAsia" w:eastAsiaTheme="minorEastAsia" w:hAnsiTheme="minorEastAsia"/>
                <w:bCs/>
              </w:rPr>
            </w:pPr>
            <w:r w:rsidRPr="009413E3">
              <w:rPr>
                <w:rFonts w:asciiTheme="minorEastAsia" w:eastAsiaTheme="minorEastAsia" w:hAnsiTheme="minorEastAsia" w:hint="eastAsia"/>
                <w:bCs/>
              </w:rPr>
              <w:t>1.6</w:t>
            </w:r>
          </w:p>
        </w:tc>
        <w:tc>
          <w:tcPr>
            <w:tcW w:w="1134" w:type="dxa"/>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±1.6</w:t>
            </w:r>
          </w:p>
        </w:tc>
        <w:tc>
          <w:tcPr>
            <w:tcW w:w="4253" w:type="dxa"/>
            <w:vAlign w:val="center"/>
          </w:tcPr>
          <w:p w:rsidR="0071148D" w:rsidRPr="009413E3" w:rsidRDefault="0071148D" w:rsidP="008973AC">
            <w:pPr>
              <w:spacing w:line="360" w:lineRule="auto"/>
              <w:ind w:firstLine="420"/>
              <w:jc w:val="center"/>
              <w:rPr>
                <w:rFonts w:ascii="宋体" w:hAnsi="宋体"/>
                <w:bCs/>
              </w:rPr>
            </w:pPr>
            <w:r w:rsidRPr="009413E3">
              <w:rPr>
                <w:rFonts w:ascii="宋体" w:hAnsi="宋体" w:hint="eastAsia"/>
                <w:bCs/>
              </w:rPr>
              <w:t>±1.6</w:t>
            </w:r>
          </w:p>
        </w:tc>
        <w:tc>
          <w:tcPr>
            <w:tcW w:w="1417" w:type="dxa"/>
            <w:vAlign w:val="center"/>
          </w:tcPr>
          <w:p w:rsidR="0071148D" w:rsidRPr="009413E3" w:rsidRDefault="0071148D" w:rsidP="008973AC">
            <w:pPr>
              <w:spacing w:line="360" w:lineRule="auto"/>
              <w:ind w:firstLine="420"/>
              <w:jc w:val="center"/>
              <w:rPr>
                <w:rFonts w:ascii="宋体" w:hAnsi="宋体"/>
                <w:bCs/>
              </w:rPr>
            </w:pPr>
            <w:r w:rsidRPr="009413E3">
              <w:rPr>
                <w:rFonts w:ascii="宋体" w:hAnsi="宋体" w:hint="eastAsia"/>
                <w:bCs/>
              </w:rPr>
              <w:t>±2.5</w:t>
            </w:r>
          </w:p>
        </w:tc>
      </w:tr>
    </w:tbl>
    <w:p w:rsidR="00B51763" w:rsidRPr="009413E3" w:rsidRDefault="00B51763" w:rsidP="00B51763">
      <w:pPr>
        <w:spacing w:line="360" w:lineRule="auto"/>
        <w:rPr>
          <w:rFonts w:ascii="宋体"/>
          <w:bCs/>
          <w:sz w:val="24"/>
        </w:rPr>
      </w:pPr>
      <w:r w:rsidRPr="009413E3">
        <w:rPr>
          <w:rFonts w:ascii="宋体" w:hint="eastAsia"/>
          <w:bCs/>
          <w:sz w:val="24"/>
        </w:rPr>
        <w:lastRenderedPageBreak/>
        <w:t>3、对设定点偏差和切换差的技术要求</w:t>
      </w:r>
      <w:r w:rsidR="0071148D" w:rsidRPr="009413E3">
        <w:rPr>
          <w:rFonts w:ascii="宋体" w:hint="eastAsia"/>
          <w:bCs/>
          <w:sz w:val="24"/>
        </w:rPr>
        <w:t>及检定方法</w:t>
      </w:r>
      <w:r w:rsidRPr="009413E3">
        <w:rPr>
          <w:rFonts w:ascii="宋体" w:hint="eastAsia"/>
          <w:bCs/>
          <w:sz w:val="24"/>
        </w:rPr>
        <w:t>进行了修改；</w:t>
      </w:r>
    </w:p>
    <w:p w:rsidR="0071148D" w:rsidRPr="009413E3" w:rsidRDefault="0071148D" w:rsidP="00B51763">
      <w:pPr>
        <w:spacing w:line="360" w:lineRule="auto"/>
        <w:rPr>
          <w:sz w:val="24"/>
        </w:rPr>
      </w:pPr>
      <w:r w:rsidRPr="009413E3">
        <w:rPr>
          <w:rFonts w:ascii="宋体" w:hint="eastAsia"/>
          <w:bCs/>
          <w:sz w:val="24"/>
        </w:rPr>
        <w:t>修改后的</w:t>
      </w:r>
      <w:r w:rsidRPr="009413E3">
        <w:rPr>
          <w:rFonts w:hint="eastAsia"/>
          <w:sz w:val="24"/>
        </w:rPr>
        <w:t>控制器只进行</w:t>
      </w:r>
      <w:r w:rsidRPr="009413E3">
        <w:rPr>
          <w:rFonts w:ascii="宋体" w:hAnsi="宋体" w:hint="eastAsia"/>
          <w:bCs/>
          <w:sz w:val="24"/>
        </w:rPr>
        <w:t>报警点和闭锁点的降压设定点偏差、切换</w:t>
      </w:r>
      <w:r w:rsidRPr="009413E3">
        <w:rPr>
          <w:rFonts w:hint="eastAsia"/>
          <w:sz w:val="24"/>
        </w:rPr>
        <w:t>差及超压报警点的升压设定点偏差及、切换差的检定，其技术要求如</w:t>
      </w:r>
      <w:r w:rsidRPr="009413E3">
        <w:rPr>
          <w:rFonts w:ascii="宋体" w:hAnsi="宋体" w:hint="eastAsia"/>
          <w:bCs/>
          <w:sz w:val="24"/>
        </w:rPr>
        <w:t>表2、表3所示。</w:t>
      </w:r>
    </w:p>
    <w:p w:rsidR="0071148D" w:rsidRPr="009413E3" w:rsidRDefault="0071148D" w:rsidP="0071148D">
      <w:pPr>
        <w:spacing w:line="360" w:lineRule="auto"/>
        <w:jc w:val="center"/>
        <w:rPr>
          <w:rFonts w:asciiTheme="minorEastAsia" w:eastAsiaTheme="minorEastAsia" w:hAnsiTheme="minorEastAsia"/>
          <w:bCs/>
        </w:rPr>
      </w:pPr>
      <w:r w:rsidRPr="009413E3">
        <w:rPr>
          <w:rFonts w:asciiTheme="minorEastAsia" w:eastAsiaTheme="minorEastAsia" w:hAnsiTheme="minorEastAsia" w:hint="eastAsia"/>
          <w:bCs/>
        </w:rPr>
        <w:t>表2  报警点和闭锁点的设定点偏差及切换差允许值</w:t>
      </w:r>
    </w:p>
    <w:tbl>
      <w:tblPr>
        <w:tblW w:w="7709"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2800"/>
        <w:gridCol w:w="1791"/>
        <w:gridCol w:w="1843"/>
      </w:tblGrid>
      <w:tr w:rsidR="0071148D" w:rsidRPr="009413E3" w:rsidTr="008973AC">
        <w:trPr>
          <w:trHeight w:val="732"/>
          <w:jc w:val="center"/>
        </w:trPr>
        <w:tc>
          <w:tcPr>
            <w:tcW w:w="1275" w:type="dxa"/>
            <w:vMerge w:val="restart"/>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准确度等级</w:t>
            </w:r>
          </w:p>
        </w:tc>
        <w:tc>
          <w:tcPr>
            <w:tcW w:w="2800" w:type="dxa"/>
            <w:vMerge w:val="restart"/>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降压设定点偏差最大允许值（按量程的百分数计算）</w:t>
            </w:r>
          </w:p>
        </w:tc>
        <w:tc>
          <w:tcPr>
            <w:tcW w:w="3634" w:type="dxa"/>
            <w:gridSpan w:val="2"/>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切换差允许值（按量程的百分数计算）</w:t>
            </w:r>
          </w:p>
        </w:tc>
      </w:tr>
      <w:tr w:rsidR="0071148D" w:rsidRPr="009413E3" w:rsidTr="008973AC">
        <w:trPr>
          <w:trHeight w:val="482"/>
          <w:jc w:val="center"/>
        </w:trPr>
        <w:tc>
          <w:tcPr>
            <w:tcW w:w="1275" w:type="dxa"/>
            <w:vMerge/>
            <w:vAlign w:val="center"/>
          </w:tcPr>
          <w:p w:rsidR="0071148D" w:rsidRPr="009413E3" w:rsidRDefault="0071148D" w:rsidP="008973AC">
            <w:pPr>
              <w:spacing w:line="360" w:lineRule="auto"/>
              <w:jc w:val="center"/>
              <w:rPr>
                <w:rFonts w:ascii="宋体" w:hAnsi="宋体"/>
                <w:bCs/>
              </w:rPr>
            </w:pPr>
          </w:p>
        </w:tc>
        <w:tc>
          <w:tcPr>
            <w:tcW w:w="2800" w:type="dxa"/>
            <w:vMerge/>
            <w:vAlign w:val="center"/>
          </w:tcPr>
          <w:p w:rsidR="0071148D" w:rsidRPr="009413E3" w:rsidRDefault="0071148D" w:rsidP="008973AC">
            <w:pPr>
              <w:spacing w:line="360" w:lineRule="auto"/>
              <w:jc w:val="center"/>
              <w:rPr>
                <w:rFonts w:ascii="宋体" w:hAnsi="宋体"/>
                <w:bCs/>
              </w:rPr>
            </w:pPr>
          </w:p>
        </w:tc>
        <w:tc>
          <w:tcPr>
            <w:tcW w:w="1791"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磁助作用式</w:t>
            </w:r>
          </w:p>
        </w:tc>
        <w:tc>
          <w:tcPr>
            <w:tcW w:w="1843"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微动开关式</w:t>
            </w:r>
          </w:p>
        </w:tc>
      </w:tr>
      <w:tr w:rsidR="0071148D" w:rsidRPr="009413E3" w:rsidTr="008973AC">
        <w:trPr>
          <w:trHeight w:val="616"/>
          <w:jc w:val="center"/>
        </w:trPr>
        <w:tc>
          <w:tcPr>
            <w:tcW w:w="1275" w:type="dxa"/>
            <w:vAlign w:val="center"/>
          </w:tcPr>
          <w:p w:rsidR="0071148D" w:rsidRPr="009413E3" w:rsidRDefault="0071148D" w:rsidP="008973AC">
            <w:pPr>
              <w:spacing w:line="360" w:lineRule="auto"/>
              <w:ind w:firstLineChars="300" w:firstLine="630"/>
              <w:rPr>
                <w:rFonts w:ascii="宋体" w:hAnsi="宋体"/>
                <w:bCs/>
              </w:rPr>
            </w:pPr>
            <w:r w:rsidRPr="009413E3">
              <w:rPr>
                <w:rFonts w:ascii="宋体" w:hAnsi="宋体" w:hint="eastAsia"/>
                <w:bCs/>
              </w:rPr>
              <w:t>1.0</w:t>
            </w:r>
          </w:p>
        </w:tc>
        <w:tc>
          <w:tcPr>
            <w:tcW w:w="2800" w:type="dxa"/>
            <w:vAlign w:val="center"/>
          </w:tcPr>
          <w:p w:rsidR="0071148D" w:rsidRPr="009413E3" w:rsidRDefault="0071148D" w:rsidP="008973AC">
            <w:pPr>
              <w:spacing w:line="360" w:lineRule="auto"/>
              <w:ind w:firstLineChars="400" w:firstLine="840"/>
              <w:rPr>
                <w:rFonts w:ascii="宋体" w:hAnsi="宋体"/>
                <w:bCs/>
              </w:rPr>
            </w:pPr>
            <w:r w:rsidRPr="009413E3">
              <w:rPr>
                <w:rFonts w:ascii="宋体" w:hAnsi="宋体" w:hint="eastAsia"/>
                <w:bCs/>
              </w:rPr>
              <w:t>±1.0</w:t>
            </w:r>
          </w:p>
        </w:tc>
        <w:tc>
          <w:tcPr>
            <w:tcW w:w="1791"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0.5% </w:t>
            </w:r>
            <w:r w:rsidRPr="009413E3">
              <w:rPr>
                <w:rFonts w:hAnsi="宋体" w:hint="eastAsia"/>
              </w:rPr>
              <w:t>～</w:t>
            </w:r>
            <w:r w:rsidRPr="009413E3">
              <w:rPr>
                <w:rFonts w:hAnsi="宋体" w:hint="eastAsia"/>
              </w:rPr>
              <w:t>3%</w:t>
            </w:r>
          </w:p>
        </w:tc>
        <w:tc>
          <w:tcPr>
            <w:tcW w:w="1843"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0.2% </w:t>
            </w:r>
            <w:r w:rsidRPr="009413E3">
              <w:rPr>
                <w:rFonts w:hAnsi="宋体" w:hint="eastAsia"/>
              </w:rPr>
              <w:t>～</w:t>
            </w:r>
            <w:r w:rsidRPr="009413E3">
              <w:rPr>
                <w:rFonts w:hAnsi="宋体" w:hint="eastAsia"/>
              </w:rPr>
              <w:t>3%</w:t>
            </w:r>
          </w:p>
        </w:tc>
      </w:tr>
      <w:tr w:rsidR="0071148D" w:rsidRPr="009413E3" w:rsidTr="008973AC">
        <w:trPr>
          <w:trHeight w:val="602"/>
          <w:jc w:val="center"/>
        </w:trPr>
        <w:tc>
          <w:tcPr>
            <w:tcW w:w="1275" w:type="dxa"/>
            <w:vAlign w:val="center"/>
          </w:tcPr>
          <w:p w:rsidR="0071148D" w:rsidRPr="009413E3" w:rsidRDefault="0071148D" w:rsidP="008973AC">
            <w:pPr>
              <w:spacing w:line="360" w:lineRule="auto"/>
              <w:ind w:firstLineChars="300" w:firstLine="630"/>
              <w:rPr>
                <w:rFonts w:ascii="宋体" w:hAnsi="宋体"/>
                <w:bCs/>
              </w:rPr>
            </w:pPr>
            <w:r w:rsidRPr="009413E3">
              <w:rPr>
                <w:rFonts w:ascii="宋体" w:hAnsi="宋体" w:hint="eastAsia"/>
                <w:bCs/>
              </w:rPr>
              <w:t>1.6</w:t>
            </w:r>
          </w:p>
        </w:tc>
        <w:tc>
          <w:tcPr>
            <w:tcW w:w="2800" w:type="dxa"/>
            <w:vAlign w:val="center"/>
          </w:tcPr>
          <w:p w:rsidR="0071148D" w:rsidRPr="009413E3" w:rsidRDefault="0071148D" w:rsidP="008973AC">
            <w:pPr>
              <w:spacing w:line="360" w:lineRule="auto"/>
              <w:ind w:firstLineChars="400" w:firstLine="840"/>
              <w:rPr>
                <w:rFonts w:ascii="宋体" w:hAnsi="宋体"/>
                <w:bCs/>
              </w:rPr>
            </w:pPr>
            <w:r w:rsidRPr="009413E3">
              <w:rPr>
                <w:rFonts w:ascii="宋体" w:hAnsi="宋体" w:hint="eastAsia"/>
                <w:bCs/>
              </w:rPr>
              <w:t>±1.6</w:t>
            </w:r>
          </w:p>
        </w:tc>
        <w:tc>
          <w:tcPr>
            <w:tcW w:w="1791"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0.5% </w:t>
            </w:r>
            <w:r w:rsidRPr="009413E3">
              <w:rPr>
                <w:rFonts w:hAnsi="宋体" w:hint="eastAsia"/>
              </w:rPr>
              <w:t>～</w:t>
            </w:r>
            <w:r w:rsidRPr="009413E3">
              <w:rPr>
                <w:rFonts w:hAnsi="宋体" w:hint="eastAsia"/>
              </w:rPr>
              <w:t>3%</w:t>
            </w:r>
          </w:p>
        </w:tc>
        <w:tc>
          <w:tcPr>
            <w:tcW w:w="1843"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0.2% </w:t>
            </w:r>
            <w:r w:rsidRPr="009413E3">
              <w:rPr>
                <w:rFonts w:hAnsi="宋体" w:hint="eastAsia"/>
              </w:rPr>
              <w:t>～</w:t>
            </w:r>
            <w:r w:rsidRPr="009413E3">
              <w:rPr>
                <w:rFonts w:hAnsi="宋体" w:hint="eastAsia"/>
              </w:rPr>
              <w:t>3%</w:t>
            </w:r>
          </w:p>
        </w:tc>
      </w:tr>
    </w:tbl>
    <w:p w:rsidR="0071148D" w:rsidRPr="009413E3" w:rsidRDefault="0071148D" w:rsidP="0071148D">
      <w:pPr>
        <w:jc w:val="center"/>
        <w:rPr>
          <w:rFonts w:asciiTheme="minorEastAsia" w:eastAsiaTheme="minorEastAsia" w:hAnsiTheme="minorEastAsia"/>
          <w:bCs/>
        </w:rPr>
      </w:pPr>
      <w:r w:rsidRPr="009413E3">
        <w:rPr>
          <w:rFonts w:asciiTheme="minorEastAsia" w:eastAsiaTheme="minorEastAsia" w:hAnsiTheme="minorEastAsia" w:hint="eastAsia"/>
          <w:bCs/>
        </w:rPr>
        <w:t>表3  超压报警点的设定点偏差及切换差允许值</w:t>
      </w:r>
    </w:p>
    <w:tbl>
      <w:tblPr>
        <w:tblW w:w="7709"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2800"/>
        <w:gridCol w:w="1791"/>
        <w:gridCol w:w="1843"/>
      </w:tblGrid>
      <w:tr w:rsidR="0071148D" w:rsidRPr="009413E3" w:rsidTr="008973AC">
        <w:trPr>
          <w:trHeight w:val="732"/>
          <w:jc w:val="center"/>
        </w:trPr>
        <w:tc>
          <w:tcPr>
            <w:tcW w:w="1275" w:type="dxa"/>
            <w:vMerge w:val="restart"/>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准确度等级</w:t>
            </w:r>
          </w:p>
        </w:tc>
        <w:tc>
          <w:tcPr>
            <w:tcW w:w="2800" w:type="dxa"/>
            <w:vMerge w:val="restart"/>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降压设定点偏差最大允许值（按量程的百分数计算）</w:t>
            </w:r>
          </w:p>
        </w:tc>
        <w:tc>
          <w:tcPr>
            <w:tcW w:w="3634" w:type="dxa"/>
            <w:gridSpan w:val="2"/>
            <w:vAlign w:val="center"/>
          </w:tcPr>
          <w:p w:rsidR="0071148D" w:rsidRPr="009413E3" w:rsidRDefault="0071148D" w:rsidP="008973AC">
            <w:pPr>
              <w:spacing w:line="360" w:lineRule="auto"/>
              <w:jc w:val="center"/>
              <w:rPr>
                <w:rFonts w:ascii="宋体" w:hAnsi="宋体"/>
                <w:bCs/>
              </w:rPr>
            </w:pPr>
            <w:r w:rsidRPr="009413E3">
              <w:rPr>
                <w:rFonts w:ascii="宋体" w:hAnsi="宋体" w:hint="eastAsia"/>
                <w:bCs/>
              </w:rPr>
              <w:t>切换差允许值（按量程的百分数计算）</w:t>
            </w:r>
          </w:p>
        </w:tc>
      </w:tr>
      <w:tr w:rsidR="0071148D" w:rsidRPr="009413E3" w:rsidTr="008973AC">
        <w:trPr>
          <w:trHeight w:val="482"/>
          <w:jc w:val="center"/>
        </w:trPr>
        <w:tc>
          <w:tcPr>
            <w:tcW w:w="1275" w:type="dxa"/>
            <w:vMerge/>
            <w:vAlign w:val="center"/>
          </w:tcPr>
          <w:p w:rsidR="0071148D" w:rsidRPr="009413E3" w:rsidRDefault="0071148D" w:rsidP="008973AC">
            <w:pPr>
              <w:spacing w:line="360" w:lineRule="auto"/>
              <w:jc w:val="center"/>
              <w:rPr>
                <w:rFonts w:ascii="宋体" w:hAnsi="宋体"/>
                <w:bCs/>
              </w:rPr>
            </w:pPr>
          </w:p>
        </w:tc>
        <w:tc>
          <w:tcPr>
            <w:tcW w:w="2800" w:type="dxa"/>
            <w:vMerge/>
            <w:vAlign w:val="center"/>
          </w:tcPr>
          <w:p w:rsidR="0071148D" w:rsidRPr="009413E3" w:rsidRDefault="0071148D" w:rsidP="008973AC">
            <w:pPr>
              <w:spacing w:line="360" w:lineRule="auto"/>
              <w:jc w:val="center"/>
              <w:rPr>
                <w:rFonts w:ascii="宋体" w:hAnsi="宋体"/>
                <w:bCs/>
              </w:rPr>
            </w:pPr>
          </w:p>
        </w:tc>
        <w:tc>
          <w:tcPr>
            <w:tcW w:w="1791"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磁助作用式</w:t>
            </w:r>
          </w:p>
        </w:tc>
        <w:tc>
          <w:tcPr>
            <w:tcW w:w="1843"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微动开关式</w:t>
            </w:r>
          </w:p>
        </w:tc>
      </w:tr>
      <w:tr w:rsidR="0071148D" w:rsidRPr="009413E3" w:rsidTr="008973AC">
        <w:trPr>
          <w:trHeight w:val="616"/>
          <w:jc w:val="center"/>
        </w:trPr>
        <w:tc>
          <w:tcPr>
            <w:tcW w:w="1275" w:type="dxa"/>
            <w:vAlign w:val="center"/>
          </w:tcPr>
          <w:p w:rsidR="0071148D" w:rsidRPr="009413E3" w:rsidRDefault="0071148D" w:rsidP="008973AC">
            <w:pPr>
              <w:spacing w:line="360" w:lineRule="auto"/>
              <w:ind w:firstLineChars="300" w:firstLine="630"/>
              <w:rPr>
                <w:rFonts w:ascii="宋体" w:hAnsi="宋体"/>
                <w:bCs/>
              </w:rPr>
            </w:pPr>
            <w:r w:rsidRPr="009413E3">
              <w:rPr>
                <w:rFonts w:ascii="宋体" w:hAnsi="宋体" w:hint="eastAsia"/>
                <w:bCs/>
              </w:rPr>
              <w:t>1.0</w:t>
            </w:r>
          </w:p>
        </w:tc>
        <w:tc>
          <w:tcPr>
            <w:tcW w:w="2800" w:type="dxa"/>
            <w:vAlign w:val="center"/>
          </w:tcPr>
          <w:p w:rsidR="0071148D" w:rsidRPr="009413E3" w:rsidRDefault="0071148D" w:rsidP="008973AC">
            <w:pPr>
              <w:spacing w:line="360" w:lineRule="auto"/>
              <w:ind w:firstLineChars="400" w:firstLine="840"/>
              <w:rPr>
                <w:rFonts w:ascii="宋体" w:hAnsi="宋体"/>
                <w:bCs/>
              </w:rPr>
            </w:pPr>
            <w:r w:rsidRPr="009413E3">
              <w:rPr>
                <w:rFonts w:ascii="宋体" w:hAnsi="宋体" w:hint="eastAsia"/>
                <w:bCs/>
              </w:rPr>
              <w:t>±1.0</w:t>
            </w:r>
          </w:p>
        </w:tc>
        <w:tc>
          <w:tcPr>
            <w:tcW w:w="1791"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0.5% </w:t>
            </w:r>
            <w:r w:rsidRPr="009413E3">
              <w:rPr>
                <w:rFonts w:hAnsi="宋体" w:hint="eastAsia"/>
              </w:rPr>
              <w:t>～</w:t>
            </w:r>
            <w:r w:rsidRPr="009413E3">
              <w:rPr>
                <w:rFonts w:hAnsi="宋体" w:hint="eastAsia"/>
              </w:rPr>
              <w:t>3%</w:t>
            </w:r>
          </w:p>
        </w:tc>
        <w:tc>
          <w:tcPr>
            <w:tcW w:w="1843"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0.2% </w:t>
            </w:r>
            <w:r w:rsidRPr="009413E3">
              <w:rPr>
                <w:rFonts w:hAnsi="宋体" w:hint="eastAsia"/>
              </w:rPr>
              <w:t>～</w:t>
            </w:r>
            <w:r w:rsidRPr="009413E3">
              <w:rPr>
                <w:rFonts w:hAnsi="宋体" w:hint="eastAsia"/>
              </w:rPr>
              <w:t>3%</w:t>
            </w:r>
          </w:p>
        </w:tc>
      </w:tr>
      <w:tr w:rsidR="0071148D" w:rsidRPr="009413E3" w:rsidTr="008973AC">
        <w:trPr>
          <w:trHeight w:val="602"/>
          <w:jc w:val="center"/>
        </w:trPr>
        <w:tc>
          <w:tcPr>
            <w:tcW w:w="1275" w:type="dxa"/>
            <w:vAlign w:val="center"/>
          </w:tcPr>
          <w:p w:rsidR="0071148D" w:rsidRPr="009413E3" w:rsidRDefault="0071148D" w:rsidP="008973AC">
            <w:pPr>
              <w:spacing w:line="360" w:lineRule="auto"/>
              <w:ind w:firstLineChars="300" w:firstLine="630"/>
              <w:rPr>
                <w:rFonts w:ascii="宋体" w:hAnsi="宋体"/>
                <w:bCs/>
              </w:rPr>
            </w:pPr>
            <w:r w:rsidRPr="009413E3">
              <w:rPr>
                <w:rFonts w:ascii="宋体" w:hAnsi="宋体" w:hint="eastAsia"/>
                <w:bCs/>
              </w:rPr>
              <w:t>1.6</w:t>
            </w:r>
          </w:p>
        </w:tc>
        <w:tc>
          <w:tcPr>
            <w:tcW w:w="2800" w:type="dxa"/>
            <w:vAlign w:val="center"/>
          </w:tcPr>
          <w:p w:rsidR="0071148D" w:rsidRPr="009413E3" w:rsidRDefault="0071148D" w:rsidP="008973AC">
            <w:pPr>
              <w:spacing w:line="360" w:lineRule="auto"/>
              <w:ind w:firstLineChars="400" w:firstLine="840"/>
              <w:rPr>
                <w:rFonts w:ascii="宋体" w:hAnsi="宋体"/>
                <w:bCs/>
              </w:rPr>
            </w:pPr>
            <w:r w:rsidRPr="009413E3">
              <w:rPr>
                <w:rFonts w:ascii="宋体" w:hAnsi="宋体" w:hint="eastAsia"/>
                <w:bCs/>
              </w:rPr>
              <w:t>±1.6</w:t>
            </w:r>
          </w:p>
        </w:tc>
        <w:tc>
          <w:tcPr>
            <w:tcW w:w="1791"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0.5% </w:t>
            </w:r>
            <w:r w:rsidRPr="009413E3">
              <w:rPr>
                <w:rFonts w:hAnsi="宋体" w:hint="eastAsia"/>
              </w:rPr>
              <w:t>～</w:t>
            </w:r>
            <w:r w:rsidRPr="009413E3">
              <w:rPr>
                <w:rFonts w:hAnsi="宋体" w:hint="eastAsia"/>
              </w:rPr>
              <w:t>3%</w:t>
            </w:r>
          </w:p>
        </w:tc>
        <w:tc>
          <w:tcPr>
            <w:tcW w:w="1843" w:type="dxa"/>
            <w:vAlign w:val="center"/>
          </w:tcPr>
          <w:p w:rsidR="0071148D" w:rsidRPr="009413E3" w:rsidRDefault="0071148D" w:rsidP="008973AC">
            <w:pPr>
              <w:spacing w:line="360" w:lineRule="auto"/>
              <w:jc w:val="center"/>
              <w:rPr>
                <w:rFonts w:ascii="宋体" w:hAnsi="宋体"/>
                <w:bCs/>
              </w:rPr>
            </w:pPr>
            <w:r w:rsidRPr="009413E3">
              <w:rPr>
                <w:rFonts w:hAnsi="宋体" w:hint="eastAsia"/>
              </w:rPr>
              <w:t xml:space="preserve">0.2% </w:t>
            </w:r>
            <w:r w:rsidRPr="009413E3">
              <w:rPr>
                <w:rFonts w:hAnsi="宋体" w:hint="eastAsia"/>
              </w:rPr>
              <w:t>～</w:t>
            </w:r>
            <w:r w:rsidRPr="009413E3">
              <w:rPr>
                <w:rFonts w:hAnsi="宋体" w:hint="eastAsia"/>
              </w:rPr>
              <w:t>3%</w:t>
            </w:r>
          </w:p>
        </w:tc>
      </w:tr>
    </w:tbl>
    <w:p w:rsidR="00B51763" w:rsidRPr="009413E3" w:rsidRDefault="00B51763" w:rsidP="00B51763">
      <w:pPr>
        <w:spacing w:line="360" w:lineRule="auto"/>
        <w:rPr>
          <w:sz w:val="24"/>
        </w:rPr>
      </w:pPr>
      <w:r w:rsidRPr="009413E3">
        <w:rPr>
          <w:rFonts w:hint="eastAsia"/>
          <w:sz w:val="24"/>
        </w:rPr>
        <w:t>4</w:t>
      </w:r>
      <w:r w:rsidRPr="009413E3">
        <w:rPr>
          <w:rFonts w:hint="eastAsia"/>
          <w:sz w:val="24"/>
        </w:rPr>
        <w:t>、以报警压力作为检定点进行温度补偿误差的试验；</w:t>
      </w:r>
    </w:p>
    <w:p w:rsidR="00B51763" w:rsidRPr="009413E3" w:rsidRDefault="00B51763" w:rsidP="00B51763">
      <w:pPr>
        <w:spacing w:line="360" w:lineRule="auto"/>
        <w:rPr>
          <w:sz w:val="24"/>
        </w:rPr>
      </w:pPr>
      <w:r w:rsidRPr="009413E3">
        <w:rPr>
          <w:rFonts w:hint="eastAsia"/>
          <w:sz w:val="24"/>
        </w:rPr>
        <w:t>5</w:t>
      </w:r>
      <w:r w:rsidRPr="009413E3">
        <w:rPr>
          <w:rFonts w:hint="eastAsia"/>
          <w:sz w:val="24"/>
        </w:rPr>
        <w:t>、增加接点接触电阻的技术要求及检定方法；</w:t>
      </w:r>
    </w:p>
    <w:p w:rsidR="00B51763" w:rsidRPr="009413E3" w:rsidRDefault="00B51763" w:rsidP="00B51763">
      <w:pPr>
        <w:spacing w:line="360" w:lineRule="auto"/>
        <w:rPr>
          <w:sz w:val="24"/>
        </w:rPr>
      </w:pPr>
      <w:r w:rsidRPr="009413E3">
        <w:rPr>
          <w:rFonts w:hint="eastAsia"/>
          <w:sz w:val="24"/>
        </w:rPr>
        <w:t>6</w:t>
      </w:r>
      <w:r w:rsidRPr="009413E3">
        <w:rPr>
          <w:rFonts w:hint="eastAsia"/>
          <w:sz w:val="24"/>
        </w:rPr>
        <w:t>、六氟化硫气体检漏仪的灵敏度要求修</w:t>
      </w:r>
      <w:r w:rsidRPr="009413E3">
        <w:rPr>
          <w:rFonts w:ascii="Batang" w:hAnsi="Batang" w:hint="eastAsia"/>
          <w:kern w:val="0"/>
          <w:sz w:val="24"/>
        </w:rPr>
        <w:t>改为</w:t>
      </w:r>
      <w:r w:rsidRPr="009413E3">
        <w:rPr>
          <w:rFonts w:ascii="宋体" w:hAnsi="宋体" w:hint="eastAsia"/>
          <w:kern w:val="0"/>
          <w:sz w:val="24"/>
        </w:rPr>
        <w:t>不小于</w:t>
      </w:r>
      <w:r w:rsidRPr="009413E3">
        <w:rPr>
          <w:rFonts w:ascii="Batang" w:eastAsia="Batang" w:hAnsi="Batang" w:hint="eastAsia"/>
          <w:kern w:val="0"/>
          <w:sz w:val="24"/>
        </w:rPr>
        <w:t>10</w:t>
      </w:r>
      <w:r w:rsidRPr="009413E3">
        <w:rPr>
          <w:rFonts w:ascii="Batang" w:eastAsia="Batang" w:hAnsi="Batang" w:hint="eastAsia"/>
          <w:kern w:val="0"/>
          <w:sz w:val="24"/>
          <w:vertAlign w:val="superscript"/>
        </w:rPr>
        <w:t>－</w:t>
      </w:r>
      <w:r w:rsidRPr="009413E3">
        <w:rPr>
          <w:rFonts w:ascii="Batang" w:hAnsi="Batang" w:hint="eastAsia"/>
          <w:kern w:val="0"/>
          <w:sz w:val="24"/>
          <w:vertAlign w:val="superscript"/>
        </w:rPr>
        <w:t>6</w:t>
      </w:r>
      <w:r w:rsidRPr="009413E3">
        <w:rPr>
          <w:rFonts w:ascii="Batang" w:hAnsi="Batang" w:hint="eastAsia"/>
          <w:kern w:val="0"/>
          <w:sz w:val="24"/>
        </w:rPr>
        <w:t>；</w:t>
      </w:r>
    </w:p>
    <w:p w:rsidR="00B60A07" w:rsidRPr="009413E3" w:rsidRDefault="00B51763" w:rsidP="00B51763">
      <w:pPr>
        <w:adjustRightInd w:val="0"/>
        <w:snapToGrid w:val="0"/>
        <w:spacing w:line="360" w:lineRule="auto"/>
        <w:rPr>
          <w:sz w:val="24"/>
        </w:rPr>
      </w:pPr>
      <w:r w:rsidRPr="009413E3">
        <w:rPr>
          <w:rFonts w:hint="eastAsia"/>
          <w:sz w:val="24"/>
        </w:rPr>
        <w:t>7</w:t>
      </w:r>
      <w:r w:rsidRPr="009413E3">
        <w:rPr>
          <w:rFonts w:hint="eastAsia"/>
          <w:sz w:val="24"/>
        </w:rPr>
        <w:t>、环境条件中的</w:t>
      </w:r>
      <w:r w:rsidRPr="009413E3">
        <w:rPr>
          <w:rFonts w:cs="宋体" w:hint="eastAsia"/>
          <w:sz w:val="24"/>
        </w:rPr>
        <w:t>检定温度修改为</w:t>
      </w:r>
      <w:r w:rsidRPr="009413E3">
        <w:rPr>
          <w:sz w:val="24"/>
        </w:rPr>
        <w:t>20</w:t>
      </w:r>
      <w:r w:rsidRPr="009413E3">
        <w:rPr>
          <w:rFonts w:cs="宋体" w:hint="eastAsia"/>
          <w:sz w:val="24"/>
        </w:rPr>
        <w:t>℃±</w:t>
      </w:r>
      <w:r w:rsidRPr="009413E3">
        <w:rPr>
          <w:rFonts w:cs="宋体" w:hint="eastAsia"/>
          <w:sz w:val="24"/>
        </w:rPr>
        <w:t>1.5</w:t>
      </w:r>
      <w:r w:rsidRPr="009413E3">
        <w:rPr>
          <w:rFonts w:cs="宋体" w:hint="eastAsia"/>
          <w:sz w:val="24"/>
        </w:rPr>
        <w:t>℃，</w:t>
      </w:r>
      <w:r w:rsidRPr="009413E3">
        <w:rPr>
          <w:rFonts w:hint="eastAsia"/>
          <w:sz w:val="24"/>
        </w:rPr>
        <w:t>去掉环境大气压力的要求；</w:t>
      </w:r>
    </w:p>
    <w:p w:rsidR="00B60A07" w:rsidRDefault="00B60A07">
      <w:pPr>
        <w:adjustRightInd w:val="0"/>
        <w:snapToGrid w:val="0"/>
        <w:spacing w:line="360" w:lineRule="auto"/>
        <w:ind w:firstLine="480"/>
        <w:rPr>
          <w:rFonts w:hAnsi="宋体"/>
          <w:color w:val="000000"/>
          <w:sz w:val="24"/>
        </w:rPr>
      </w:pPr>
    </w:p>
    <w:sectPr w:rsidR="00B60A07" w:rsidSect="00F206BA">
      <w:headerReference w:type="even" r:id="rId7"/>
      <w:headerReference w:type="default" r:id="rId8"/>
      <w:footerReference w:type="even" r:id="rId9"/>
      <w:footerReference w:type="default" r:id="rId10"/>
      <w:headerReference w:type="first" r:id="rId11"/>
      <w:footerReference w:type="first" r:id="rId12"/>
      <w:pgSz w:w="11906" w:h="16838"/>
      <w:pgMar w:top="1418" w:right="1418" w:bottom="1361" w:left="1440" w:header="851" w:footer="992" w:gutter="0"/>
      <w:cols w:space="720"/>
      <w:docGrid w:type="lines" w:linePitch="4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A22" w:rsidRDefault="008F0A22">
      <w:r>
        <w:separator/>
      </w:r>
    </w:p>
  </w:endnote>
  <w:endnote w:type="continuationSeparator" w:id="0">
    <w:p w:rsidR="008F0A22" w:rsidRDefault="008F0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A07" w:rsidRDefault="00F339B0">
    <w:pPr>
      <w:pStyle w:val="a4"/>
      <w:framePr w:wrap="around" w:vAnchor="text" w:hAnchor="margin" w:xAlign="center" w:y="1"/>
      <w:rPr>
        <w:rStyle w:val="a3"/>
      </w:rPr>
    </w:pPr>
    <w:r>
      <w:fldChar w:fldCharType="begin"/>
    </w:r>
    <w:r w:rsidR="00B60A07">
      <w:rPr>
        <w:rStyle w:val="a3"/>
      </w:rPr>
      <w:instrText xml:space="preserve">PAGE  </w:instrText>
    </w:r>
    <w:r>
      <w:fldChar w:fldCharType="end"/>
    </w:r>
  </w:p>
  <w:p w:rsidR="00B60A07" w:rsidRDefault="00B60A0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A07" w:rsidRDefault="00B60A07">
    <w:pPr>
      <w:pStyle w:val="a4"/>
      <w:jc w:val="center"/>
    </w:pPr>
    <w:r>
      <w:rPr>
        <w:lang w:val="zh-CN"/>
      </w:rPr>
      <w:t xml:space="preserve"> </w:t>
    </w:r>
    <w:r w:rsidR="00F339B0">
      <w:rPr>
        <w:b/>
        <w:sz w:val="24"/>
        <w:szCs w:val="24"/>
      </w:rPr>
      <w:fldChar w:fldCharType="begin"/>
    </w:r>
    <w:r>
      <w:rPr>
        <w:b/>
      </w:rPr>
      <w:instrText>PAGE</w:instrText>
    </w:r>
    <w:r w:rsidR="00F339B0">
      <w:rPr>
        <w:b/>
        <w:sz w:val="24"/>
        <w:szCs w:val="24"/>
      </w:rPr>
      <w:fldChar w:fldCharType="separate"/>
    </w:r>
    <w:r w:rsidR="00005342">
      <w:rPr>
        <w:b/>
        <w:noProof/>
      </w:rPr>
      <w:t>2</w:t>
    </w:r>
    <w:r w:rsidR="00F339B0">
      <w:rPr>
        <w:b/>
        <w:sz w:val="24"/>
        <w:szCs w:val="24"/>
      </w:rPr>
      <w:fldChar w:fldCharType="end"/>
    </w:r>
    <w:r>
      <w:rPr>
        <w:lang w:val="zh-CN"/>
      </w:rPr>
      <w:t xml:space="preserve"> / </w:t>
    </w:r>
    <w:r w:rsidR="00F339B0">
      <w:rPr>
        <w:b/>
        <w:sz w:val="24"/>
        <w:szCs w:val="24"/>
      </w:rPr>
      <w:fldChar w:fldCharType="begin"/>
    </w:r>
    <w:r>
      <w:rPr>
        <w:b/>
      </w:rPr>
      <w:instrText>NUMPAGES</w:instrText>
    </w:r>
    <w:r w:rsidR="00F339B0">
      <w:rPr>
        <w:b/>
        <w:sz w:val="24"/>
        <w:szCs w:val="24"/>
      </w:rPr>
      <w:fldChar w:fldCharType="separate"/>
    </w:r>
    <w:r w:rsidR="00005342">
      <w:rPr>
        <w:b/>
        <w:noProof/>
      </w:rPr>
      <w:t>4</w:t>
    </w:r>
    <w:r w:rsidR="00F339B0">
      <w:rPr>
        <w:b/>
        <w:sz w:val="24"/>
        <w:szCs w:val="24"/>
      </w:rPr>
      <w:fldChar w:fldCharType="end"/>
    </w:r>
  </w:p>
  <w:p w:rsidR="00B60A07" w:rsidRDefault="00B60A0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A07" w:rsidRDefault="00B60A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A22" w:rsidRDefault="008F0A22">
      <w:r>
        <w:separator/>
      </w:r>
    </w:p>
  </w:footnote>
  <w:footnote w:type="continuationSeparator" w:id="0">
    <w:p w:rsidR="008F0A22" w:rsidRDefault="008F0A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A07" w:rsidRDefault="00B60A0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A07" w:rsidRDefault="00B60A0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A07" w:rsidRDefault="00B60A0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B972D8"/>
    <w:multiLevelType w:val="singleLevel"/>
    <w:tmpl w:val="8DB972D8"/>
    <w:lvl w:ilvl="0">
      <w:start w:val="1"/>
      <w:numFmt w:val="decimal"/>
      <w:lvlText w:val="%1."/>
      <w:lvlJc w:val="left"/>
      <w:pPr>
        <w:tabs>
          <w:tab w:val="num" w:pos="312"/>
        </w:tabs>
      </w:pPr>
    </w:lvl>
  </w:abstractNum>
  <w:abstractNum w:abstractNumId="1">
    <w:nsid w:val="AD0D1EE2"/>
    <w:multiLevelType w:val="singleLevel"/>
    <w:tmpl w:val="AD0D1EE2"/>
    <w:lvl w:ilvl="0">
      <w:start w:val="1"/>
      <w:numFmt w:val="decimal"/>
      <w:lvlText w:val="%1."/>
      <w:lvlJc w:val="left"/>
      <w:pPr>
        <w:tabs>
          <w:tab w:val="num" w:pos="312"/>
        </w:tabs>
      </w:pPr>
    </w:lvl>
  </w:abstractNum>
  <w:abstractNum w:abstractNumId="2">
    <w:nsid w:val="73E6053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882"/>
        </w:tabs>
        <w:ind w:left="88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234"/>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E7D71"/>
    <w:rsid w:val="00005342"/>
    <w:rsid w:val="0003303E"/>
    <w:rsid w:val="000331F5"/>
    <w:rsid w:val="0003403E"/>
    <w:rsid w:val="00046CAC"/>
    <w:rsid w:val="00064875"/>
    <w:rsid w:val="000836B2"/>
    <w:rsid w:val="00091E96"/>
    <w:rsid w:val="000E3BD3"/>
    <w:rsid w:val="000E5A0A"/>
    <w:rsid w:val="000F17E8"/>
    <w:rsid w:val="000F48FC"/>
    <w:rsid w:val="001073D8"/>
    <w:rsid w:val="00133B7D"/>
    <w:rsid w:val="00136DB3"/>
    <w:rsid w:val="001425DA"/>
    <w:rsid w:val="001618E6"/>
    <w:rsid w:val="00167072"/>
    <w:rsid w:val="0017428D"/>
    <w:rsid w:val="0019221E"/>
    <w:rsid w:val="001979EA"/>
    <w:rsid w:val="001B7CD4"/>
    <w:rsid w:val="001C11EB"/>
    <w:rsid w:val="001C39D3"/>
    <w:rsid w:val="001D0146"/>
    <w:rsid w:val="001E48F6"/>
    <w:rsid w:val="002016B8"/>
    <w:rsid w:val="002246BC"/>
    <w:rsid w:val="00227890"/>
    <w:rsid w:val="002469C5"/>
    <w:rsid w:val="00247C88"/>
    <w:rsid w:val="00255065"/>
    <w:rsid w:val="00270572"/>
    <w:rsid w:val="00274612"/>
    <w:rsid w:val="00277614"/>
    <w:rsid w:val="002A4B54"/>
    <w:rsid w:val="002B23BF"/>
    <w:rsid w:val="002C0594"/>
    <w:rsid w:val="002C21A8"/>
    <w:rsid w:val="002C53CB"/>
    <w:rsid w:val="002D6E6B"/>
    <w:rsid w:val="002E4098"/>
    <w:rsid w:val="002F5A52"/>
    <w:rsid w:val="00364A57"/>
    <w:rsid w:val="0037089D"/>
    <w:rsid w:val="003712B8"/>
    <w:rsid w:val="00384ED5"/>
    <w:rsid w:val="00394D08"/>
    <w:rsid w:val="00396A5C"/>
    <w:rsid w:val="003A080C"/>
    <w:rsid w:val="003A39EE"/>
    <w:rsid w:val="003A7C8D"/>
    <w:rsid w:val="003B2B14"/>
    <w:rsid w:val="003D67F7"/>
    <w:rsid w:val="003E7D71"/>
    <w:rsid w:val="003F0BC9"/>
    <w:rsid w:val="00400CC0"/>
    <w:rsid w:val="00417F22"/>
    <w:rsid w:val="00446346"/>
    <w:rsid w:val="00450F88"/>
    <w:rsid w:val="004668D6"/>
    <w:rsid w:val="00473393"/>
    <w:rsid w:val="0048181A"/>
    <w:rsid w:val="004A11F8"/>
    <w:rsid w:val="004A141B"/>
    <w:rsid w:val="004C158C"/>
    <w:rsid w:val="004C28D0"/>
    <w:rsid w:val="004D7DAF"/>
    <w:rsid w:val="004F46FC"/>
    <w:rsid w:val="005048E6"/>
    <w:rsid w:val="00505111"/>
    <w:rsid w:val="005228E8"/>
    <w:rsid w:val="00525568"/>
    <w:rsid w:val="00533C6D"/>
    <w:rsid w:val="0053700C"/>
    <w:rsid w:val="0054158C"/>
    <w:rsid w:val="005457A2"/>
    <w:rsid w:val="00552180"/>
    <w:rsid w:val="00555761"/>
    <w:rsid w:val="00582CF3"/>
    <w:rsid w:val="00584BA7"/>
    <w:rsid w:val="0059167C"/>
    <w:rsid w:val="00592503"/>
    <w:rsid w:val="00597E36"/>
    <w:rsid w:val="005A5244"/>
    <w:rsid w:val="005B5461"/>
    <w:rsid w:val="005C1E0A"/>
    <w:rsid w:val="005C4AF0"/>
    <w:rsid w:val="005E0A3E"/>
    <w:rsid w:val="005E1C9D"/>
    <w:rsid w:val="00626FC9"/>
    <w:rsid w:val="00627429"/>
    <w:rsid w:val="00627AD8"/>
    <w:rsid w:val="006325BF"/>
    <w:rsid w:val="00650C14"/>
    <w:rsid w:val="00673575"/>
    <w:rsid w:val="00682833"/>
    <w:rsid w:val="00682F6D"/>
    <w:rsid w:val="006A5493"/>
    <w:rsid w:val="006C42BC"/>
    <w:rsid w:val="006D0AF2"/>
    <w:rsid w:val="0071148D"/>
    <w:rsid w:val="00712E7E"/>
    <w:rsid w:val="00715CFE"/>
    <w:rsid w:val="007243D4"/>
    <w:rsid w:val="00730A2A"/>
    <w:rsid w:val="0074202E"/>
    <w:rsid w:val="00746775"/>
    <w:rsid w:val="00763A95"/>
    <w:rsid w:val="00781D19"/>
    <w:rsid w:val="00785CD1"/>
    <w:rsid w:val="007D6DF0"/>
    <w:rsid w:val="008167A3"/>
    <w:rsid w:val="00822C78"/>
    <w:rsid w:val="008320BA"/>
    <w:rsid w:val="0083378E"/>
    <w:rsid w:val="0084471C"/>
    <w:rsid w:val="00862B7C"/>
    <w:rsid w:val="00873F5E"/>
    <w:rsid w:val="008962F8"/>
    <w:rsid w:val="008B6ECA"/>
    <w:rsid w:val="008D6BAD"/>
    <w:rsid w:val="008E0CD5"/>
    <w:rsid w:val="008F0A22"/>
    <w:rsid w:val="008F1402"/>
    <w:rsid w:val="008F3B17"/>
    <w:rsid w:val="00906ED7"/>
    <w:rsid w:val="00917205"/>
    <w:rsid w:val="009413E3"/>
    <w:rsid w:val="00971C9E"/>
    <w:rsid w:val="009762AD"/>
    <w:rsid w:val="00986B5B"/>
    <w:rsid w:val="009A402A"/>
    <w:rsid w:val="009B15D2"/>
    <w:rsid w:val="009B573C"/>
    <w:rsid w:val="009C4EF3"/>
    <w:rsid w:val="009C7EC3"/>
    <w:rsid w:val="009E07EF"/>
    <w:rsid w:val="009E5B11"/>
    <w:rsid w:val="00A06C8D"/>
    <w:rsid w:val="00A13E0E"/>
    <w:rsid w:val="00A13F5A"/>
    <w:rsid w:val="00A2122E"/>
    <w:rsid w:val="00A2348F"/>
    <w:rsid w:val="00A320D9"/>
    <w:rsid w:val="00A44FD2"/>
    <w:rsid w:val="00A46E63"/>
    <w:rsid w:val="00A579CE"/>
    <w:rsid w:val="00A6508B"/>
    <w:rsid w:val="00A74866"/>
    <w:rsid w:val="00A76743"/>
    <w:rsid w:val="00A963BC"/>
    <w:rsid w:val="00A970C4"/>
    <w:rsid w:val="00AE7B6B"/>
    <w:rsid w:val="00AF70AC"/>
    <w:rsid w:val="00B03451"/>
    <w:rsid w:val="00B12695"/>
    <w:rsid w:val="00B14BBD"/>
    <w:rsid w:val="00B2684E"/>
    <w:rsid w:val="00B27974"/>
    <w:rsid w:val="00B3423E"/>
    <w:rsid w:val="00B361FE"/>
    <w:rsid w:val="00B51763"/>
    <w:rsid w:val="00B53FD3"/>
    <w:rsid w:val="00B60A07"/>
    <w:rsid w:val="00BA42A7"/>
    <w:rsid w:val="00BA4E77"/>
    <w:rsid w:val="00BB18C8"/>
    <w:rsid w:val="00BB1D59"/>
    <w:rsid w:val="00BB6C3A"/>
    <w:rsid w:val="00BC2AC2"/>
    <w:rsid w:val="00BD6A5B"/>
    <w:rsid w:val="00BF35EB"/>
    <w:rsid w:val="00BF5B20"/>
    <w:rsid w:val="00C15668"/>
    <w:rsid w:val="00C23C14"/>
    <w:rsid w:val="00C26AD5"/>
    <w:rsid w:val="00C671CF"/>
    <w:rsid w:val="00C90A67"/>
    <w:rsid w:val="00CA71E7"/>
    <w:rsid w:val="00CB3323"/>
    <w:rsid w:val="00CC26C6"/>
    <w:rsid w:val="00CC74A3"/>
    <w:rsid w:val="00CD192D"/>
    <w:rsid w:val="00D03D6A"/>
    <w:rsid w:val="00D137C0"/>
    <w:rsid w:val="00D14139"/>
    <w:rsid w:val="00D221E9"/>
    <w:rsid w:val="00D24979"/>
    <w:rsid w:val="00D27A66"/>
    <w:rsid w:val="00D3040A"/>
    <w:rsid w:val="00D4152D"/>
    <w:rsid w:val="00D457DC"/>
    <w:rsid w:val="00D65441"/>
    <w:rsid w:val="00D66875"/>
    <w:rsid w:val="00D7135B"/>
    <w:rsid w:val="00D74A3E"/>
    <w:rsid w:val="00DA3BFD"/>
    <w:rsid w:val="00DA752A"/>
    <w:rsid w:val="00DB27BC"/>
    <w:rsid w:val="00DB5772"/>
    <w:rsid w:val="00DC2362"/>
    <w:rsid w:val="00DC2F7F"/>
    <w:rsid w:val="00DD2A99"/>
    <w:rsid w:val="00DD6A9E"/>
    <w:rsid w:val="00DE48DF"/>
    <w:rsid w:val="00DF0392"/>
    <w:rsid w:val="00E33B88"/>
    <w:rsid w:val="00E37547"/>
    <w:rsid w:val="00E474F8"/>
    <w:rsid w:val="00E51D9D"/>
    <w:rsid w:val="00E74C2B"/>
    <w:rsid w:val="00EA1478"/>
    <w:rsid w:val="00EA558F"/>
    <w:rsid w:val="00EB18E8"/>
    <w:rsid w:val="00EC027B"/>
    <w:rsid w:val="00EC7ED2"/>
    <w:rsid w:val="00ED4779"/>
    <w:rsid w:val="00ED5147"/>
    <w:rsid w:val="00EE12D7"/>
    <w:rsid w:val="00F16656"/>
    <w:rsid w:val="00F206BA"/>
    <w:rsid w:val="00F20C4C"/>
    <w:rsid w:val="00F30ECE"/>
    <w:rsid w:val="00F339B0"/>
    <w:rsid w:val="00F42540"/>
    <w:rsid w:val="00F42645"/>
    <w:rsid w:val="00F438D7"/>
    <w:rsid w:val="00F557EC"/>
    <w:rsid w:val="00F679AB"/>
    <w:rsid w:val="00F71E1B"/>
    <w:rsid w:val="00F75B61"/>
    <w:rsid w:val="00F8257D"/>
    <w:rsid w:val="00F82BD4"/>
    <w:rsid w:val="00FB38E0"/>
    <w:rsid w:val="00FB7738"/>
    <w:rsid w:val="00FD5932"/>
    <w:rsid w:val="00FF3FD6"/>
    <w:rsid w:val="00FF6A45"/>
    <w:rsid w:val="00FF7D28"/>
    <w:rsid w:val="162070EB"/>
    <w:rsid w:val="18FB29B8"/>
    <w:rsid w:val="1E2C06E3"/>
    <w:rsid w:val="259621E4"/>
    <w:rsid w:val="28212A6B"/>
    <w:rsid w:val="35B07389"/>
    <w:rsid w:val="3B7A40BF"/>
    <w:rsid w:val="4996497E"/>
    <w:rsid w:val="4A002E81"/>
    <w:rsid w:val="5D2D636D"/>
    <w:rsid w:val="638E0343"/>
    <w:rsid w:val="69535ECA"/>
    <w:rsid w:val="6B14492E"/>
    <w:rsid w:val="6D6C7E9D"/>
    <w:rsid w:val="79B43817"/>
    <w:rsid w:val="79DE76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06BA"/>
    <w:pPr>
      <w:widowControl w:val="0"/>
      <w:jc w:val="both"/>
    </w:pPr>
    <w:rPr>
      <w:kern w:val="2"/>
      <w:sz w:val="21"/>
      <w:szCs w:val="24"/>
    </w:rPr>
  </w:style>
  <w:style w:type="paragraph" w:styleId="1">
    <w:name w:val="heading 1"/>
    <w:basedOn w:val="a"/>
    <w:next w:val="a"/>
    <w:qFormat/>
    <w:rsid w:val="00F206BA"/>
    <w:pPr>
      <w:keepNext/>
      <w:ind w:leftChars="-85" w:left="-178" w:firstLineChars="842" w:firstLine="7073"/>
      <w:outlineLvl w:val="0"/>
    </w:pPr>
    <w:rPr>
      <w:sz w:val="84"/>
    </w:rPr>
  </w:style>
  <w:style w:type="paragraph" w:styleId="2">
    <w:name w:val="heading 2"/>
    <w:basedOn w:val="a"/>
    <w:next w:val="a"/>
    <w:qFormat/>
    <w:rsid w:val="00F206BA"/>
    <w:pPr>
      <w:keepNext/>
      <w:ind w:firstLineChars="900" w:firstLine="7560"/>
      <w:outlineLvl w:val="1"/>
    </w:pPr>
    <w:rPr>
      <w:rFonts w:ascii="黑体" w:eastAsia="黑体" w:hAnsi="MS Gothic"/>
      <w:sz w:val="84"/>
    </w:rPr>
  </w:style>
  <w:style w:type="paragraph" w:styleId="3">
    <w:name w:val="heading 3"/>
    <w:basedOn w:val="a"/>
    <w:next w:val="a"/>
    <w:qFormat/>
    <w:rsid w:val="00F206BA"/>
    <w:pPr>
      <w:keepNext/>
      <w:outlineLvl w:val="2"/>
    </w:pPr>
    <w:rPr>
      <w:rFonts w:ascii="黑体" w:eastAsia="黑体"/>
      <w:b/>
      <w:bCs/>
      <w:sz w:val="36"/>
      <w:u w:val="single"/>
    </w:rPr>
  </w:style>
  <w:style w:type="paragraph" w:styleId="4">
    <w:name w:val="heading 4"/>
    <w:basedOn w:val="a"/>
    <w:next w:val="a"/>
    <w:qFormat/>
    <w:rsid w:val="00F206BA"/>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206BA"/>
  </w:style>
  <w:style w:type="character" w:customStyle="1" w:styleId="Char">
    <w:name w:val="页脚 Char"/>
    <w:link w:val="a4"/>
    <w:uiPriority w:val="99"/>
    <w:rsid w:val="00F206BA"/>
    <w:rPr>
      <w:kern w:val="2"/>
      <w:sz w:val="18"/>
      <w:szCs w:val="18"/>
    </w:rPr>
  </w:style>
  <w:style w:type="character" w:customStyle="1" w:styleId="Char0">
    <w:name w:val="页眉 Char"/>
    <w:link w:val="a5"/>
    <w:uiPriority w:val="99"/>
    <w:rsid w:val="00F206BA"/>
    <w:rPr>
      <w:kern w:val="2"/>
      <w:sz w:val="18"/>
      <w:szCs w:val="18"/>
    </w:rPr>
  </w:style>
  <w:style w:type="character" w:customStyle="1" w:styleId="Char1">
    <w:name w:val="无间隔 Char"/>
    <w:link w:val="a6"/>
    <w:uiPriority w:val="1"/>
    <w:rsid w:val="00F206BA"/>
    <w:rPr>
      <w:rFonts w:ascii="Calibri" w:hAnsi="Calibri"/>
      <w:sz w:val="22"/>
      <w:szCs w:val="22"/>
      <w:lang w:val="en-US" w:eastAsia="zh-CN" w:bidi="ar-SA"/>
    </w:rPr>
  </w:style>
  <w:style w:type="paragraph" w:styleId="a5">
    <w:name w:val="header"/>
    <w:basedOn w:val="a"/>
    <w:link w:val="Char0"/>
    <w:uiPriority w:val="99"/>
    <w:rsid w:val="00F206BA"/>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F206BA"/>
    <w:pPr>
      <w:tabs>
        <w:tab w:val="center" w:pos="4153"/>
        <w:tab w:val="right" w:pos="8306"/>
      </w:tabs>
      <w:snapToGrid w:val="0"/>
      <w:jc w:val="left"/>
    </w:pPr>
    <w:rPr>
      <w:sz w:val="18"/>
      <w:szCs w:val="18"/>
    </w:rPr>
  </w:style>
  <w:style w:type="paragraph" w:styleId="a7">
    <w:name w:val="Date"/>
    <w:basedOn w:val="a"/>
    <w:next w:val="a"/>
    <w:rsid w:val="00F206BA"/>
    <w:pPr>
      <w:ind w:leftChars="2500" w:left="100"/>
    </w:pPr>
    <w:rPr>
      <w:rFonts w:ascii="黑体" w:eastAsia="黑体"/>
      <w:sz w:val="24"/>
    </w:rPr>
  </w:style>
  <w:style w:type="paragraph" w:styleId="a8">
    <w:name w:val="Body Text Indent"/>
    <w:basedOn w:val="a"/>
    <w:rsid w:val="00F206BA"/>
    <w:pPr>
      <w:ind w:firstLineChars="200" w:firstLine="480"/>
    </w:pPr>
    <w:rPr>
      <w:rFonts w:ascii="黑体" w:eastAsia="黑体"/>
      <w:sz w:val="24"/>
    </w:rPr>
  </w:style>
  <w:style w:type="paragraph" w:styleId="a6">
    <w:name w:val="No Spacing"/>
    <w:link w:val="Char1"/>
    <w:uiPriority w:val="1"/>
    <w:qFormat/>
    <w:rsid w:val="00F206BA"/>
    <w:rPr>
      <w:rFonts w:ascii="Calibri" w:hAnsi="Calibri"/>
      <w:sz w:val="22"/>
      <w:szCs w:val="22"/>
    </w:rPr>
  </w:style>
  <w:style w:type="table" w:styleId="a9">
    <w:name w:val="Table Grid"/>
    <w:basedOn w:val="a1"/>
    <w:uiPriority w:val="59"/>
    <w:rsid w:val="0071148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4</Pages>
  <Words>298</Words>
  <Characters>1701</Characters>
  <Application>Microsoft Office Word</Application>
  <DocSecurity>0</DocSecurity>
  <PresentationFormat/>
  <Lines>14</Lines>
  <Paragraphs>3</Paragraphs>
  <Slides>0</Slides>
  <Notes>0</Notes>
  <HiddenSlides>0</HiddenSlides>
  <MMClips>0</MMClips>
  <ScaleCrop>false</ScaleCrop>
  <Company>SIMT</Company>
  <LinksUpToDate>false</LinksUpToDate>
  <CharactersWithSpaces>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hual</dc:creator>
  <cp:lastModifiedBy>王灿</cp:lastModifiedBy>
  <cp:revision>29</cp:revision>
  <cp:lastPrinted>2010-11-16T02:22:00Z</cp:lastPrinted>
  <dcterms:created xsi:type="dcterms:W3CDTF">2021-09-13T07:29:00Z</dcterms:created>
  <dcterms:modified xsi:type="dcterms:W3CDTF">2022-09-27T06:08:00Z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